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LuftVStG — Bußgeldvorschriften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7 Absatz 1 Satz 1 sich nicht oder nicht rechtzeitig registrieren lässt,</w:t>
      </w:r>
    </w:p>
    <w:p>
      <w:pPr>
        <w:ind w:left="420"/>
      </w:pPr>
      <w:r>
        <w:t xml:space="preserve">2. entgegen § 7 Absatz 1 Satz 2 eine dort genannte Angabe nicht, nicht richtig, nicht vollständig, nicht in der vorgeschriebenen Weise oder nicht rechtzeitig übermittelt,</w:t>
      </w:r>
    </w:p>
    <w:p>
      <w:pPr>
        <w:ind w:left="420"/>
      </w:pPr>
      <w:r>
        <w:t xml:space="preserve">3. einer vollziehbaren Anordnung nach § 7 Absatz 3, § 8 Absatz 3 Satz 3, § 9 oder § 13 Absatz 2 Satz 2 zuwiderhandelt,</w:t>
      </w:r>
    </w:p>
    <w:p>
      <w:pPr>
        <w:ind w:left="420"/>
      </w:pPr>
      <w:r>
        <w:t xml:space="preserve">4. entgegen § 7 Absatz 4 oder § 8 Absatz 4 eine Änderung der Verhältnisse nicht, nicht richtig, nicht vollständig, nicht in der vorgeschriebenen Weise oder nicht rechtzeitig anzeigt oder</w:t>
      </w:r>
    </w:p>
    <w:p>
      <w:pPr>
        <w:ind w:left="420"/>
      </w:pPr>
      <w:r>
        <w:t xml:space="preserve">5. entgegen § 13 Absatz 1 Satz 1 eine Aufzeichnung nicht, nicht richtig oder nicht vollständig führt.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16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