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LuftVStG — Steuergegenstand</w:t>
      </w:r>
    </w:p>
    <w:p>
      <w:r>
        <w:rPr>
          <w:color w:val="555555"/>
          <w:sz w:val="18"/>
        </w:rPr>
        <w:t xml:space="preserve">Luftverkehrsteuergesetz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Luftverkehrsteuer unterliegt ein Rechtsvorgang, der zum Abflug eines Fluggastes von einem inländischen Startort mit einem Flugzeug oder Drehflügler durch ein Luftverkehrsunternehmen zu einem Zielort berechtigt.</w:t>
      </w:r>
    </w:p>
    <w:p>
      <w:r>
        <w:t xml:space="preserve">(2) Als Rechtsvorgang im Sinne des Absatzes 1 gilt auch die Zuweisung eines Sitzplatzes in einem Flugzeug oder Drehflügler an einen Fluggast, wenn kein anderer Rechtsvorgang im Sinne dieses Gesetzes vorausgegangen ist.</w:t>
      </w:r>
    </w:p>
    <w:p>
      <w:r>
        <w:rPr>
          <w:color w:val="555555"/>
          <w:sz w:val="17"/>
        </w:rPr>
        <w:t xml:space="preserve">Zitiervorschlag: § 1 LuftVStG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