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LuftVStFestV 2015</w:t>
      </w:r>
    </w:p>
    <w:p>
      <w:r>
        <w:rPr>
          <w:color w:val="555555"/>
          <w:sz w:val="18"/>
        </w:rPr>
        <w:t xml:space="preserve">Luftverkehrsteuer-Festlegungsverordnung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11 Absatz 2 des Luftverkehrsteuergesetzes, der durch Artikel 3 Nummer 4 Buchstabe b des Gesetzes vom 5. Dezember 2012 (BGBl. I S. 2436) geändert worden ist, in Verbindung mit § 1 Absatz 2 des Zuständigkeitsanpassungsgesetzes vom 16. August 2002 (BGBl. I S. 3265) und dem Organisationserlass vom 17. Dezember 2013 (BGBl. I S. 4310) verordnet das Bundesministerium der Finanzen im Einvernehmen mit dem Bundesministerium für Umwelt, Naturschutz, Bau und Reaktorsicherheit, dem Bundesministerium für Verkehr und digitale Infrastruktur und dem Bundesministerium für Wirtschaft und Energie:</w:t>
      </w:r>
    </w:p>
    <w:p>
      <w:r>
        <w:rPr>
          <w:color w:val="555555"/>
          <w:sz w:val="17"/>
        </w:rPr>
        <w:t xml:space="preserve">Zitiervorschlag: Eingangsformel LuftVStFestV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https://recht.nulegal.eu/gesetze/LuftVStFestV%202015/eingangsformel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