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LuftVStFestV 2015 — Inkrafttreten</w:t>
      </w:r>
    </w:p>
    <w:p>
      <w:r>
        <w:rPr>
          <w:color w:val="555555"/>
          <w:sz w:val="18"/>
        </w:rPr>
        <w:t xml:space="preserve">Luftverkehrsteuer-Festlegungsverordnung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2015 in Kraft.</w:t>
      </w:r>
    </w:p>
    <w:p>
      <w:r>
        <w:rPr>
          <w:color w:val="555555"/>
          <w:sz w:val="17"/>
        </w:rPr>
        <w:t xml:space="preserve">Zitiervorschlag: § 2 LuftVStFestV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