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LuftVStFestV 2014 — Steuersätze 2014</w:t>
      </w:r>
    </w:p>
    <w:p>
      <w:r>
        <w:rPr>
          <w:color w:val="555555"/>
          <w:sz w:val="18"/>
        </w:rPr>
        <w:t xml:space="preserve">Luftverkehrsteuer-Festlegungsverordnung 2014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Unter Einbeziehung des Luftverkehrs in den Handel mit Treibhausgasemissionszertifikaten bleiben die Steuersätze des § 11 Absatz 1 Nummer 1 bis 3 des Gesetzes für das Jahr 2014 unverändert. Die Steuer beträgt je Fluggast für Flüge mit einem Zielort</w:t>
      </w:r>
    </w:p>
    <w:p>
      <w:r>
        <w:rPr>
          <w:rFonts w:ascii="Courier New" w:hAnsi="Courier New"/>
          <w:sz w:val="17"/>
        </w:rPr>
        <w:t xml:space="preserve">1.    in einem Land der Anlage 1 zu dem Gesetz    7,50 Euro,</w:t>
      </w:r>
    </w:p>
    <w:p>
      <w:r>
        <w:rPr>
          <w:rFonts w:ascii="Courier New" w:hAnsi="Courier New"/>
          <w:sz w:val="17"/>
        </w:rPr>
        <w:t xml:space="preserve">2.    in einem Land der Anlage 2 zu dem Gesetz    23,43 Euro,</w:t>
      </w:r>
    </w:p>
    <w:p>
      <w:r>
        <w:rPr>
          <w:rFonts w:ascii="Courier New" w:hAnsi="Courier New"/>
          <w:sz w:val="17"/>
        </w:rPr>
        <w:t xml:space="preserve">3.    in anderen Ländern    42,18 Euro.</w:t>
      </w:r>
    </w:p>
    <w:p>
      <w:r>
        <w:rPr>
          <w:color w:val="555555"/>
          <w:sz w:val="17"/>
        </w:rPr>
        <w:t xml:space="preserve">Zitiervorschlag: § 1 LuftVStFestV 2014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https://recht.nulegal.eu/gesetze/LuftVStFestV%202014/1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