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LuftVStDV</w:t>
      </w:r>
    </w:p>
    <w:p>
      <w:r>
        <w:rPr>
          <w:color w:val="555555"/>
          <w:sz w:val="18"/>
        </w:rPr>
        <w:t xml:space="preserve">Luftverkehrsteuer-Durchführungsverordnung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verordnen</w:t>
      </w:r>
    </w:p>
    <w:p>
      <w:pPr>
        <w:ind w:left="420"/>
      </w:pPr>
      <w:r>
        <w:t xml:space="preserve">– das Bundesministerium der Finanzen auf Grund des § 18 Absatz 1 Nummer 3 und 4 sowie Absatz 3 Satz 1 Nummer 1 bis 6 und 8,</w:t>
      </w:r>
    </w:p>
    <w:p>
      <w:pPr>
        <w:ind w:left="420"/>
      </w:pPr>
      <w:r>
        <w:t xml:space="preserve">– das Bundesministerium der Finanzen im Benehmen mit dem Bundesministerium des Innern auf Grund des § 18 Absatz 3 Satz 1 Nummer 7 sowie</w:t>
      </w:r>
    </w:p>
    <w:p>
      <w:pPr>
        <w:ind w:left="420"/>
      </w:pPr>
      <w:r>
        <w:t xml:space="preserve">– das Bundesministerium der Finanzen im Einvernehmen mit dem Bundesministerium für Verkehr, Bau und Stadtentwicklung auf Grund des § 18 Absatz 2 Nummer 1</w:t>
      </w:r>
    </w:p>
    <w:p>
      <w:r>
        <w:t xml:space="preserve">des Luftverkehrsteuergesetzes vom 9. Dezember 2010 (BGBl. I S. 1885):</w:t>
      </w:r>
    </w:p>
    <w:p>
      <w:r>
        <w:rPr>
          <w:color w:val="555555"/>
          <w:sz w:val="17"/>
        </w:rPr>
        <w:t xml:space="preserve">Zitiervorschlag: Eingangsformel LuftVStDV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