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6a LuftVStDV — Kleinbetragsregelung</w:t>
      </w:r>
    </w:p>
    <w:p>
      <w:r>
        <w:rPr>
          <w:color w:val="555555"/>
          <w:sz w:val="18"/>
        </w:rPr>
        <w:t xml:space="preserve">Luftverkehrsteuer-Durchführungsverordnung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angemeldete oder festgesetzte Steuer wird vom zuständigen Hauptzollamt nur abweichend festgesetzt, geändert oder berichtigt, wenn die Abweichung von der angemeldeten oder festgesetzten Steuer mindestens 25 Euro beträgt.</w:t>
      </w:r>
    </w:p>
    <w:p>
      <w:r>
        <w:t xml:space="preserve">(2) Soweit die Festsetzung durch automatisierte Verfahren unterstützt wird, gilt Absatz 1 erst, wenn die entsprechende Regelung programmtechnisch umgesetzt worden ist.</w:t>
      </w:r>
    </w:p>
    <w:p>
      <w:r>
        <w:rPr>
          <w:color w:val="555555"/>
          <w:sz w:val="17"/>
        </w:rPr>
        <w:t xml:space="preserve">Zitiervorschlag: § 6a LuftVStDV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https://recht.nulegal.eu/gesetze/LuftVStDV/6a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