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LuftVStDV — Erteilung der Erlaubnis als steuerlicher Beauftragter</w:t>
      </w:r>
    </w:p>
    <w:p>
      <w:r>
        <w:rPr>
          <w:color w:val="555555"/>
          <w:sz w:val="18"/>
        </w:rPr>
        <w:t xml:space="preserve">Luftverkehrsteuer-Durchführungsverordnung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Das zuständige Hauptzollamt erteilt die Erlaubnis nach § 8 Absatz 2 des Gesetzes schriftlich oder elektronisch.</w:t>
      </w:r>
    </w:p>
    <w:p>
      <w:r>
        <w:t xml:space="preserve">(2) Die Erlaubnis kann mit sämtlichen in § 120 Absatz 2 der Abgabenordnung aufgezählten Nebenbestimmungen verbunden werden.</w:t>
      </w:r>
    </w:p>
    <w:p>
      <w:r>
        <w:rPr>
          <w:color w:val="555555"/>
          <w:sz w:val="17"/>
        </w:rPr>
        <w:t xml:space="preserve">Zitiervorschlag: § 2 LuftVStDV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