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LuftVStDV — Ergänzende Begriffsbestimmungen zum Gesetz</w:t>
      </w:r>
    </w:p>
    <w:p>
      <w:r>
        <w:rPr>
          <w:color w:val="555555"/>
          <w:sz w:val="18"/>
        </w:rPr>
        <w:t xml:space="preserve">Luftverkehrsteuer-Durchführungsverordnung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Luftverkehrsunternehmen im Sinne des § 2 Nummer 2 des Gesetzes gilt auch, wer die gewerbliche Beförderung von Personen betreibt und infolgedessen einer Genehmigung oder Erlaubnis nach den Vorschriften des Luftverkehrsgesetzes oder der Verordnung (EG) Nr. 1008/2008 des Europäischen Parlaments und des Rates vom 24. September 2008 über gemeinsame Vorschriften für die Durchführung von Luftverkehrsdiensten in der Gemeinschaft (ABl. L 293 vom 31.10.2008, S. 3) in der jeweils geltenden Fassung bedarf.</w:t>
      </w:r>
    </w:p>
    <w:p>
      <w:r>
        <w:rPr>
          <w:color w:val="555555"/>
          <w:sz w:val="17"/>
        </w:rPr>
        <w:t xml:space="preserve">Zitiervorschlag: § 1 LuftVStDV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