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2024 — Inkrafttreten</w:t>
      </w:r>
    </w:p>
    <w:p>
      <w:r>
        <w:rPr>
          <w:color w:val="555555"/>
          <w:sz w:val="18"/>
        </w:rPr>
        <w:t xml:space="preserve">Luftverkehrsteuer-Absenkungsverordnung 2024</w:t>
      </w:r>
    </w:p>
    <w:p>
      <w:r>
        <w:rPr>
          <w:color w:val="555555"/>
          <w:sz w:val="18"/>
        </w:rPr>
        <w:t xml:space="preserve">Historische Fassung: Stand 01.01.2024 bis 01.05.2024. Dies ist nicht die aktuelle Fassung.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2 LuftVStAbsenkV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