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LuftVStAbsenkV 2024 — Steuersätze 2024</w:t>
      </w:r>
    </w:p>
    <w:p>
      <w:r>
        <w:rPr>
          <w:color w:val="555555"/>
          <w:sz w:val="18"/>
        </w:rPr>
        <w:t xml:space="preserve">Luftverkehrsteuer-Absenkungsverordnung 2024</w:t>
      </w:r>
    </w:p>
    <w:p>
      <w:r>
        <w:rPr>
          <w:color w:val="555555"/>
          <w:sz w:val="18"/>
        </w:rPr>
        <w:t xml:space="preserve">Historische Fassung: Stand 01.01.2024 bis 01.05.2024. Dies ist nicht die aktuelle Fassung.</w:t>
      </w:r>
    </w:p>
    <w:p>
      <w:r>
        <w:t xml:space="preserve">Unter Einbeziehung des Luftverkehrs in den Handel mit Treibhausgasemissionszertifikaten werden die Steuersätze des § 11 Absatz 1 Nummer 1 bis 3 des Gesetzes für das Jahr 2024 abgesenkt. Die Steuer beträgt je Fluggast für Flüge mit einem Zielort</w:t>
      </w:r>
    </w:p>
    <w:p>
      <w:r>
        <w:rPr>
          <w:rFonts w:ascii="Courier New" w:hAnsi="Courier New"/>
          <w:sz w:val="17"/>
        </w:rPr>
        <w:t xml:space="preserve">in einem Land der Anlage 1 zu dem Gesetz:    12,48 Euro,</w:t>
      </w:r>
    </w:p>
    <w:p>
      <w:r>
        <w:rPr>
          <w:rFonts w:ascii="Courier New" w:hAnsi="Courier New"/>
          <w:sz w:val="17"/>
        </w:rPr>
        <w:t xml:space="preserve">in einem Land der Anlage 2 zu dem Gesetz:    31,61 Euro,</w:t>
      </w:r>
    </w:p>
    <w:p>
      <w:r>
        <w:rPr>
          <w:rFonts w:ascii="Courier New" w:hAnsi="Courier New"/>
          <w:sz w:val="17"/>
        </w:rPr>
        <w:t xml:space="preserve">in anderen Ländern:    56,91 Euro.</w:t>
      </w:r>
    </w:p>
    <w:p>
      <w:r>
        <w:rPr>
          <w:color w:val="555555"/>
          <w:sz w:val="17"/>
        </w:rPr>
        <w:t xml:space="preserve">Zitiervorschlag: § 1 LuftVStAbsenkV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https://recht.nulegal.eu/gesetze/LuftVStAbsenkV%202024/1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LuftVStAbsenkV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