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LuftVStAbsenkV 2023 — Inkrafttreten</w:t>
      </w:r>
    </w:p>
    <w:p>
      <w:r>
        <w:rPr>
          <w:color w:val="555555"/>
          <w:sz w:val="18"/>
        </w:rPr>
        <w:t xml:space="preserve">Luftverkehrsteuer-Absenkungsverordnung 2023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Diese Verordnung tritt am 1. Januar 2023 in Kraft.</w:t>
      </w:r>
    </w:p>
    <w:p>
      <w:r>
        <w:rPr>
          <w:color w:val="555555"/>
          <w:sz w:val="17"/>
        </w:rPr>
        <w:t xml:space="preserve">Zitiervorschlag: § 2 LuftVStAbsenkV 2023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https://recht.nulegal.eu/gesetze/LuftVStAbsenkV%202023/2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