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2022 — Inkrafttreten</w:t>
      </w:r>
    </w:p>
    <w:p>
      <w:r>
        <w:rPr>
          <w:color w:val="555555"/>
          <w:sz w:val="18"/>
        </w:rPr>
        <w:t xml:space="preserve">Luftverkehrsteuer-Absenkungsverordnung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2 LuftVStAbsenkV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