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LuftVStAbsenkV 2017</w:t>
      </w:r>
    </w:p>
    <w:p>
      <w:r>
        <w:rPr>
          <w:color w:val="555555"/>
          <w:sz w:val="18"/>
        </w:rPr>
        <w:t xml:space="preserve">Luftverkehrsteuer-Absenkungsverordnung 2017</w:t>
      </w:r>
    </w:p>
    <w:p>
      <w:r>
        <w:rPr>
          <w:color w:val="555555"/>
          <w:sz w:val="18"/>
        </w:rPr>
        <w:t xml:space="preserve">Stand: 10.06.2019 (konsolidierte Textfassung, kein amtliches Inkrafttretensdatum)</w:t>
      </w:r>
    </w:p>
    <w:p>
      <w:r>
        <w:t xml:space="preserve">Auf Grund des § 11 Absatz 2 des Luftverkehrsteuergesetzes, der zuletzt durch Artikel 237 Nummer 1 der Verordnung vom 31. August 2015 (BGBl. I S. 1474) geändert worden ist, verordnet das Bundesministerium der Finanzen im Einvernehmen mit dem Bundesministerium für Umwelt, Naturschutz, Bau und Reaktorsicherheit, dem Bundesministerium für Verkehr und digitale Infrastruktur und dem Bundesministerium für Wirtschaft und Energie:</w:t>
      </w:r>
    </w:p>
    <w:p>
      <w:r>
        <w:rPr>
          <w:color w:val="555555"/>
          <w:sz w:val="17"/>
        </w:rPr>
        <w:t xml:space="preserve">Zitiervorschlag: Eingangsformel LuftVStAbsenkV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https://recht.nulegal.eu/gesetze/LuftVStAbsenkV%202017/eingangsformel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