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LuftVStAbsenkV 2012 — Inkrafttreten</w:t>
      </w:r>
    </w:p>
    <w:p>
      <w:r>
        <w:rPr>
          <w:color w:val="555555"/>
          <w:sz w:val="18"/>
        </w:rPr>
        <w:t xml:space="preserve">Luftverkehrsteuer-Absenkungsverordnung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2012 in Kraft.</w:t>
      </w:r>
    </w:p>
    <w:p>
      <w:r>
        <w:rPr>
          <w:color w:val="555555"/>
          <w:sz w:val="17"/>
        </w:rPr>
        <w:t xml:space="preserve">Zitiervorschlag: § 2 LuftVStAbsenkV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