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LuftVO 2015 — Höhenmessereinstellung und Reiseflughöhen bei Flügen nach Instrumentenflugregeln</w:t>
      </w:r>
    </w:p>
    <w:p>
      <w:r>
        <w:rPr>
          <w:color w:val="555555"/>
          <w:sz w:val="18"/>
        </w:rPr>
        <w:t xml:space="preserve">Luftverkehrs-Ordnung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Höhen zur Einstellung des Höhenmessers für Flüge nach Instrumentenflugregeln werden von dem Bundesaufsichtsamt für Flugsicherung festgelegt.</w:t>
      </w:r>
    </w:p>
    <w:p>
      <w:r>
        <w:t xml:space="preserve">(2) Bei Flügen nach Instrumentenflugregeln in und unterhalb der nach Absatz 1 festgelegten Höhe hat der Luftfahrzeugführer den Höhenmesser unverzüglich nach Erreichen oder Unterschreiten dieser Höhe auf den von der zuständigen Flugverkehrskontrollstelle übermittelten QNH-Wert einzustellen.</w:t>
      </w:r>
    </w:p>
    <w:p>
      <w:r>
        <w:t xml:space="preserve">(3) Bei Flügen nach Instrumentenflugregeln oberhalb der nach Absatz 1 festgelegten Höhe hat der Luftfahrzeugführer die Standard-Höhenmessereinstellung zu verwenden.</w:t>
      </w:r>
    </w:p>
    <w:p>
      <w:r>
        <w:t xml:space="preserve">(4) Das Bundesaufsichtsamt für Flugsicherung kann für Instrumentenflüge im Luftfahrthandbuch</w:t>
      </w:r>
    </w:p>
    <w:p>
      <w:pPr>
        <w:ind w:left="420"/>
      </w:pPr>
      <w:r>
        <w:t xml:space="preserve">1. abweichende Flughöhen oder Flugflächen im kontrollierten Luftraum nach Anhang SERA.5020 Buchstabe b der Durchführungsverordnung (EU) Nr. 923/2012 festlegen,</w:t>
      </w:r>
    </w:p>
    <w:p>
      <w:pPr>
        <w:ind w:left="420"/>
      </w:pPr>
      <w:r>
        <w:t xml:space="preserve">2. abweichende Reiseflughöhen in und unter 900 Metern (3 000 Fuß) über Normalnull im unkontrollierten Luftraum nach Anhang SERA.5025 Buchstabe a festlegen,</w:t>
      </w:r>
    </w:p>
    <w:p>
      <w:r>
        <w:t xml:space="preserve">soweit die öffentliche Sicherheit oder Ordnung, insbesondere die Sicherheit des Luftverkehrs, dadurch nicht beeinträchtigt wird.</w:t>
      </w:r>
    </w:p>
    <w:p>
      <w:r>
        <w:rPr>
          <w:color w:val="555555"/>
          <w:sz w:val="17"/>
        </w:rPr>
        <w:t xml:space="preserve">Zitiervorschlag: § 41 LuftVO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https://recht.nulegal.eu/gesetze/LuftVO%202015/41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