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LuftVO 2015 — Überschallflüge nach Sichtflugregeln</w:t>
      </w:r>
    </w:p>
    <w:p>
      <w:r>
        <w:rPr>
          <w:color w:val="555555"/>
          <w:sz w:val="18"/>
        </w:rPr>
        <w:t xml:space="preserve">Luftverkehrs-Ordnung</w:t>
      </w:r>
    </w:p>
    <w:p>
      <w:r>
        <w:rPr>
          <w:color w:val="555555"/>
          <w:sz w:val="18"/>
        </w:rPr>
        <w:t xml:space="preserve">Stand: 10.06.2019 (konsolidierte Textfassung, kein amtliches Inkrafttretensdatum)</w:t>
      </w:r>
    </w:p>
    <w:p>
      <w:r>
        <w:t xml:space="preserve">(1) Das Bundesministerium für Verkehr und digitale Infrastruktur kann Ausnahmen von dem Verbot nach Anhang SERA.5005 Buchstabe d Nummer 2 der Durchführungsverordnung (EU) Nr. 923/2012 und Absatz 2 zulassen, sofern sichergestellt ist, dass bei Flügen mit Überschallgeschwindigkeit ein Überschallknall auf der Erdoberfläche nicht feststellbar ist.</w:t>
      </w:r>
    </w:p>
    <w:p>
      <w:r>
        <w:t xml:space="preserve">(2) Die Ausnahmen können mit einer Nebenbestimmung, insbesondere einer Auflage versehen werden. Insbesondere können bestimmte Flughöhen und Flugstrecken und, sofern Start oder Landung im Geltungsbereich dieser Verordnung beabsichtigt sind, bestimmte Flugplätze vorgeschrieben werden. Die Erlaubnis ist zurückzunehmen, wenn die Voraussetzungen des Absatzes 1 nicht vorgelegen haben; sie ist zu widerrufen, wenn die Voraussetzungen des Absatzes 1 nachträglich nicht nur vorübergehend weggefallen sind.</w:t>
      </w:r>
    </w:p>
    <w:p>
      <w:r>
        <w:t xml:space="preserve">(3) In Einzelfällen können Flüge zu Versuchszwecken mit Überschallgeschwindigkeit über Absatz 1 hinausgehend auch dann zugelassen werden, wenn sie dazu dienen sollen, den Nachweis dafür zu erbringen, dass ein Überschallknall auf der Erdoberfläche nicht feststellbar ist.</w:t>
      </w:r>
    </w:p>
    <w:p>
      <w:r>
        <w:rPr>
          <w:color w:val="555555"/>
          <w:sz w:val="17"/>
        </w:rPr>
        <w:t xml:space="preserve">Zitiervorschlag: § 38 LuftVO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https://recht.nulegal.eu/gesetze/LuftVO%202015/38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