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LuftVO 2015 — Flüge nach Sichtflugregeln bei Nacht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Flüge nach Sichtflugregeln bei Nacht sind nur unter den in Anhang SERA.5005 Buchstabe c der Durchführungsverordnung (EU) Nr. 923/2012 genannten Bedingungen zulässig.</w:t>
      </w:r>
    </w:p>
    <w:p>
      <w:r>
        <w:t xml:space="preserve">(2) Bei Nacht sind Flüge nach Sichtflugregeln mit Luftsportgeräten verboten. Davon ausgenommen sind einsitzige Sprungfallschirme.</w:t>
      </w:r>
    </w:p>
    <w:p>
      <w:r>
        <w:t xml:space="preserve">(3) Die Durchführung von Sonderflügen nach Sichtflugregeln innerhalb von Kontrollzonen bei Nacht ist zulässig.</w:t>
      </w:r>
    </w:p>
    <w:p>
      <w:r>
        <w:rPr>
          <w:color w:val="555555"/>
          <w:sz w:val="17"/>
        </w:rPr>
        <w:t xml:space="preserve">Zitiervorschlag: § 36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