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LuftVO 2015 — Höhenmessereinstellung und Reiseflughöhen bei Flügen nach Sichtflugregeln</w:t>
      </w:r>
    </w:p>
    <w:p>
      <w:r>
        <w:rPr>
          <w:color w:val="555555"/>
          <w:sz w:val="18"/>
        </w:rPr>
        <w:t xml:space="preserve">Luftverkehrs-Ordnung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Höhen zur Einstellung des Höhenmessers für Flüge nach Sichtflugregeln werden von dem Bundesaufsichtsamt für Flugsicherung festgelegt.</w:t>
      </w:r>
    </w:p>
    <w:p>
      <w:r>
        <w:t xml:space="preserve">(2) Bei Überlandflügen nach Sichtflugregeln in und unterhalb der nach Absatz 1 festgelegten Höhe hat der Luftfahrzeugführer den Höhenmesser unverzüglich nach Erreichen oder Unterschreiten dieser Höhe auf den QNH-Wert des zur Flugstrecke nächstgelegenen Flugplatzes mit Flugverkehrskontrollstelle einzustellen. QNH-Wert ist der auf mittlere Meereshöhe reduzierte Luftdruckwert eines Ortes, unter der Annahme, dass an dem Ort und unterhalb des Ortes die Temperaturverhältnisse der Normalatmosphäre herrschen.</w:t>
      </w:r>
    </w:p>
    <w:p>
      <w:r>
        <w:t xml:space="preserve">(3) Bei Überlandflügen nach Sichtflugregeln oberhalb der nach Absatz 1 festgelegten Höhe hat der Luftfahrzeugführer den Höhenmesser unverzüglich nach Erreichen oder Überschreiten dieser Höhe auf 1 013,2 Hectopascal einzustellen (Standard-Höhenmessereinstellung).</w:t>
      </w:r>
    </w:p>
    <w:p>
      <w:r>
        <w:t xml:space="preserve">(4) Das Bundesaufsichtsamt für Flugsicherung kann Abweichungen von den in Anhang SERA.5005 Buchstabe g der Durchführungsverordnung (EU) Nr. 923/2012 vorgeschriebenen Höhen festlegen.</w:t>
      </w:r>
    </w:p>
    <w:p>
      <w:r>
        <w:rPr>
          <w:color w:val="555555"/>
          <w:sz w:val="17"/>
        </w:rPr>
        <w:t xml:space="preserve">Zitiervorschlag: § 35 LuftVO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https://recht.nulegal.eu/gesetze/LuftVO%202015/35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