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LuftVO 2015 — Flugverfahren</w:t>
      </w:r>
    </w:p>
    <w:p>
      <w:r>
        <w:rPr>
          <w:color w:val="555555"/>
          <w:sz w:val="18"/>
        </w:rPr>
        <w:t xml:space="preserve">Luftverkehrs-Ordnung</w:t>
      </w:r>
    </w:p>
    <w:p>
      <w:r>
        <w:rPr>
          <w:color w:val="555555"/>
          <w:sz w:val="18"/>
        </w:rPr>
        <w:t xml:space="preserve">Stand: 10.06.2019 (konsolidierte Textfassung, kein amtliches Inkrafttretensdatum)</w:t>
      </w:r>
    </w:p>
    <w:p>
      <w:r>
        <w:t xml:space="preserve">(1) Soweit die zuständige Flugverkehrskontrollstelle keine anders lautende Flugverkehrskontrollfreigabe nach § 31 Absatz 3 erteilt, hat der Luftfahrzeugführer bei Flügen innerhalb von Kontrollzonen, bei Anflügen zu und Abflügen von Flugplätzen mit Flugverkehrskontrollstelle sowie bei Flügen nach Instrumentenflugregeln die vorgeschriebenen Flugverfahren zu befolgen.</w:t>
      </w:r>
    </w:p>
    <w:p>
      <w:r>
        <w:t xml:space="preserve">(2) Das Bundesaufsichtsamt für Flugsicherung wird ermächtigt, die Flugverfahren nach Absatz 1 einschließlich der Flugwege, Flughöhen und Meldepunkte durch Rechtsverordnung festzulegen.</w:t>
      </w:r>
    </w:p>
    <w:p>
      <w:r>
        <w:t xml:space="preserve">(3) Zur Abwehr von Gefahren für die Sicherheit des Luftverkehrs sowie für die öffentliche Sicherheit oder Ordnung kann die Flugsicherungsorganisation im Einvernehmen mit dem Bundesaufsichtsamt für Flugsicherung im Einzelfall Flugverfahren durch Allgemeinverfügung festlegen. Bei Gefahr im Verzug kann die Flugsicherungsorganisation die in Satz 1 beschriebene Allgemeinverfügung ohne das Einvernehmen mit dem Bundesaufsichtsamt für Flugsicherung festlegen. Das Einvernehmen ist in einem solchen Fall unverzüglich herzustellen; wird das Einvernehmen nicht bis zum Ablauf des nächsten Arbeitstages im Bundesaufsichtsamt für Flugsicherung hergestellt, hat die Flugsicherungsorganisation die Festlegung des Flugverfahrens aufzuheben. Die Geltungsdauer der Festlegung eines Flugverfahrens durch Allgemeinverfügung darf drei Monate nicht überschreiten.</w:t>
      </w:r>
    </w:p>
    <w:p>
      <w:r>
        <w:rPr>
          <w:color w:val="555555"/>
          <w:sz w:val="17"/>
        </w:rPr>
        <w:t xml:space="preserve">Zitiervorschlag: § 33 LuftVO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https://recht.nulegal.eu/gesetze/LuftVO%202015/33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