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LuftVO 2015 — Start- und Landemeldung</w:t>
      </w:r>
    </w:p>
    <w:p>
      <w:r>
        <w:rPr>
          <w:color w:val="555555"/>
          <w:sz w:val="18"/>
        </w:rPr>
        <w:t xml:space="preserve">Luftverkehrs-Ordnung</w:t>
      </w:r>
    </w:p>
    <w:p>
      <w:r>
        <w:rPr>
          <w:color w:val="555555"/>
          <w:sz w:val="18"/>
        </w:rPr>
        <w:t xml:space="preserve">Stand: 10.06.2019 (konsolidierte Textfassung, kein amtliches Inkrafttretensdatum)</w:t>
      </w:r>
    </w:p>
    <w:p>
      <w:r>
        <w:t xml:space="preserve">(1) Der Luftfahrzeugführer hat für Flüge, für die ein Flugplan abgegeben wurde, der zuständigen Flugverkehrsdienststelle die tatsächliche Startzeit unverzüglich nach dem Start zu übermitteln. Dies gilt nicht für Starts von Flugplätzen mit Flugverkehrskontrollstelle. Das Bundesaufsichtsamt für Flugsicherung kann Ausnahmen von Satz 1 zulassen.</w:t>
      </w:r>
    </w:p>
    <w:p>
      <w:r>
        <w:t xml:space="preserve">(2) Einzelheiten über Inhalt, Form und Übermittlungsart sowie zulässige Abweichungen von dem in Absatz 1 festgelegten Zeitpunkt der Übermittlung der Startzeit werden von dem Bundesaufsichtsamt für Flugsicherung festgelegt.</w:t>
      </w:r>
    </w:p>
    <w:p>
      <w:r>
        <w:t xml:space="preserve">(3) Absatz 2 gilt entsprechend für die Landemeldungen nach Anhang SERA.4020 der Durchführungsverordnung (EU) Nr. 923/2012.</w:t>
      </w:r>
    </w:p>
    <w:p>
      <w:r>
        <w:rPr>
          <w:color w:val="555555"/>
          <w:sz w:val="17"/>
        </w:rPr>
        <w:t xml:space="preserve">Zitiervorschlag: § 32 LuftVO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https://recht.nulegal.eu/gesetze/LuftVO%202015/32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