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LuftVO 2015 — Flugverkehrskontrollfreigabe</w:t>
      </w:r>
    </w:p>
    <w:p>
      <w:r>
        <w:rPr>
          <w:color w:val="555555"/>
          <w:sz w:val="18"/>
        </w:rPr>
        <w:t xml:space="preserve">Luftverkehrs-Ordnung</w:t>
      </w:r>
    </w:p>
    <w:p>
      <w:r>
        <w:rPr>
          <w:color w:val="555555"/>
          <w:sz w:val="18"/>
        </w:rPr>
        <w:t xml:space="preserve">Stand: 10.06.2019 (konsolidierte Textfassung, kein amtliches Inkrafttretensdatum)</w:t>
      </w:r>
    </w:p>
    <w:p>
      <w:r>
        <w:t xml:space="preserve">(1) Über die in den Anhängen SERA.5010, SERA.6001 und SERA.8001 der Durchführungsverordnung (EU) Nr. 923/2012 und in § 21 Absatz 1 vorgeschriebenen Fälle hinaus hat der Luftfahrzeugführer eine Flugverkehrskontrollfreigabe für Flüge in einem Gebiet mit Flugbeschränkungen einzuholen, wenn dies auf Grund von § 17 Absatz 1 als Bedingung festgelegt wurde.</w:t>
      </w:r>
    </w:p>
    <w:p>
      <w:r>
        <w:t xml:space="preserve">(2) Das Bundesaufsichtsamt für Flugsicherung kann die Erteilung der Flugverkehrskontrollfreigaben in bestimmten Fällen an besondere Voraussetzungen knüpfen.</w:t>
      </w:r>
    </w:p>
    <w:p>
      <w:r>
        <w:t xml:space="preserve">(3) Mit der Flugverkehrskontrollfreigabe nach Anhang SERA.8015 der Durchführungsverordnung (EU) Nr. 923/2012 erhält der Luftfahrzeugführer die Erlaubnis, seinen Flug unter bestimmten Bedingungen oder Auflagen durchzuführen. Die zuständige Flugverkehrskontrollstelle kann bei der Bewegungslenkung der ihrer Kontrolle unterliegenden Flüge den Flugverlauf, insbesondere den Flugweg und die Flughöhe, durch entsprechende Freigaben im Einzelnen festlegen.</w:t>
      </w:r>
    </w:p>
    <w:p>
      <w:r>
        <w:t xml:space="preserve">(4) Von der zuletzt erteilten und bestätigten Flugverkehrskontrollfreigabe darf der Luftfahrzeugführer nicht abweichen, bevor ihm eine neue Flugverkehrskontrollfreigabe erteilt worden ist. Dies gilt nicht in Notlagen, die eine sofortige eigene Entscheidung erfordern. In diesen Fällen hat der Luftfahrzeugführer unverzüglich die zuständige Flugverkehrskontrollstelle zu benachrichtigen und eine neue Flugverkehrskontrollfreigabe einzuholen.</w:t>
      </w:r>
    </w:p>
    <w:p>
      <w:r>
        <w:t xml:space="preserve">(5) Das Bundesaufsichtsamt für Flugsicherung genehmigt mit Zustimmung des Bundesministeriums für Verkehr und digitale Infrastruktur die Staffelungsmindestwerte nach Anhang SERA.8010 Buchstabe a der Durchführungsverordnung (EU) Nr. 923/2012.</w:t>
      </w:r>
    </w:p>
    <w:p>
      <w:r>
        <w:t xml:space="preserve">(6) Eine Staffelung nach Anhang SERA.8005 Buchstabe b Nummer 5 der Durchführungsverordnung (EU) Nr. 923 /2012 muss zwischen Sonderflügen nach Sichtflugregeln im Sinne des Artikels 2 Nummer 122 der Durchführungsverordnung (EU) Nr. 923/2012 nicht gewährleistet werden. Für diese Flüge erteilt die zuständige Flugverkehrskontrollstelle dem Luftfahrzeugführer die Verkehrsinformation nach Artikel 2 Nummer 132 sowie auf dessen Anforderung eine Ausweichempfehlung nach Artikel 2 Nummer 131 der Durchführungsverordnung (EU) Nr. 923/2012.</w:t>
      </w:r>
    </w:p>
    <w:p>
      <w:r>
        <w:rPr>
          <w:color w:val="555555"/>
          <w:sz w:val="17"/>
        </w:rPr>
        <w:t xml:space="preserve">Zitiervorschlag: § 31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