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LuftVO 2015 — Festlegungen im Funkverkehr</w:t>
      </w:r>
    </w:p>
    <w:p>
      <w:r>
        <w:rPr>
          <w:color w:val="555555"/>
          <w:sz w:val="18"/>
        </w:rPr>
        <w:t xml:space="preserve">Luftverkehrs-Ordnung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Bundesaufsichtsamt für Flugsicherung ist zuständig für die Festlegung</w:t>
      </w:r>
    </w:p>
    <w:p>
      <w:pPr>
        <w:ind w:left="420"/>
      </w:pPr>
      <w:r>
        <w:t xml:space="preserve">1. der Funkfrequenzen der Flugverkehrskontrollstellen und der Bodenfunkstellen für den Sprechfunkverkehr im Flugfunkdienst im Sinne der Anhänge SERA.8035, SERA.5005 Buchstabe i und SERA.5025 Buchstabe b der Durchführungsverordnung (EU) Nr. 923/2012,</w:t>
      </w:r>
    </w:p>
    <w:p>
      <w:pPr>
        <w:ind w:left="420"/>
      </w:pPr>
      <w:r>
        <w:t xml:space="preserve">2. der Sprechfunkverfahren und der Verfahren bei Ausfall der Funkverbindung.</w:t>
      </w:r>
    </w:p>
    <w:p>
      <w:r>
        <w:t xml:space="preserve">(2) Der Funkverkehr wird als Sprechfunkverkehr im Flugfunkdienst durchgeführt. Hierbei sind die nach Absatz 1 Nummer 2 festgelegten Verfahren anzuwenden. Zur Teilnahme am Sprechfunkverkehr im Geltungsbereich dieser Verordnung bedarf es ausreichender Kenntnisse der im Sprechfunkverkehr im Flugfunkdienst verwendeten Sprache.</w:t>
      </w:r>
    </w:p>
    <w:p>
      <w:r>
        <w:rPr>
          <w:color w:val="555555"/>
          <w:sz w:val="17"/>
        </w:rPr>
        <w:t xml:space="preserve">Zitiervorschlag: § 29 LuftVO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https://recht.nulegal.eu/gesetze/LuftVO%202015/29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