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LuftVO 2015 — Beschränkungen der Starts und Landungen von Flugzeugen mit Strahltriebwerken</w:t>
      </w:r>
    </w:p>
    <w:p>
      <w:r>
        <w:rPr>
          <w:color w:val="555555"/>
          <w:sz w:val="18"/>
        </w:rPr>
        <w:t xml:space="preserve">Luftverkehrs-Ordnung</w:t>
      </w:r>
    </w:p>
    <w:p>
      <w:r>
        <w:rPr>
          <w:color w:val="555555"/>
          <w:sz w:val="18"/>
        </w:rPr>
        <w:t xml:space="preserve">Stand: 10.06.2019 (konsolidierte Textfassung, kein amtliches Inkrafttretensdatum)</w:t>
      </w:r>
    </w:p>
    <w:p>
      <w:r>
        <w:t xml:space="preserve">(1) Flugzeuge mit Strahltriebwerken,</w:t>
      </w:r>
    </w:p>
    <w:p>
      <w:pPr>
        <w:ind w:left="420"/>
      </w:pPr>
      <w:r>
        <w:t xml:space="preserve">1. deren maximale Startmasse größer oder gleich 34 000 Kilogramm ist oder</w:t>
      </w:r>
    </w:p>
    <w:p>
      <w:pPr>
        <w:ind w:left="420"/>
      </w:pPr>
      <w:r>
        <w:t xml:space="preserve">2. deren Baureihe mit einer maximalen Sitzkonfiguration von mehr als 19 Passagiersitzen zugelassen ist, wobei Sitze für die Besatzung nicht eingerechnet werden,</w:t>
      </w:r>
    </w:p>
    <w:p>
      <w:r>
        <w:t xml:space="preserve">dürfen auf Flugplätzen nur dann starten und landen, wenn sie die in Artikel 6 Absatz 1 der Verordnung (EG) Nr. 216/2008 des Europäischen Parlaments und des Rates vom 20. Februar 2008 zur Festlegung gemeinsamer Vorschriften für die Zivilluftfahrt und zur Errichtung einer Europäischen Agentur für Flugsicherheit, zur Aufhebung der Richtlinie 91/670/EWG des Rates, der Verordnung (EG) Nr. 1592/2002 und der Richtlinie 2004/36/EG (ABl. L 79 vom 19.3.2008, S. 1) in der jeweils geltenden Fassung festgelegten Anforderungen erfüllen.</w:t>
      </w:r>
    </w:p>
    <w:p>
      <w:r>
        <w:t xml:space="preserve">(2) Für Flugzeuge, an denen ein historisches Interesse besteht, kann das Luftfahrt-Bundesamt Ausnahmen von den Beschränkungen nach Absatz 1 zulassen. Ausnahmen, die von anderen Mitgliedstaaten der Europäischen Union für in diesen Staaten registrierte Flugzeuge erteilt werden, werden anerkannt.</w:t>
      </w:r>
    </w:p>
    <w:p>
      <w:r>
        <w:t xml:space="preserve">(3) In Einzelfällen kann das Luftfahrt-Bundesamt eine Ausnahme von den Beschränkungen nach Absatz 1 für den vorübergehenden Einsatz von Flugzeugen zulassen, wenn</w:t>
      </w:r>
    </w:p>
    <w:p>
      <w:pPr>
        <w:ind w:left="420"/>
      </w:pPr>
      <w:r>
        <w:t xml:space="preserve">1. die Flugzeuge für außergewöhnliche Zwecke eingesetzt werden, sodass die Versagung einer befristeten Freistellung nicht vertretbar wäre, oder</w:t>
      </w:r>
    </w:p>
    <w:p>
      <w:pPr>
        <w:ind w:left="420"/>
      </w:pPr>
      <w:r>
        <w:t xml:space="preserve">2. mit den Flugzeugen Flüge zu Umrüstungs-, Reparatur- oder Wartungszwecken durchgeführt werden und dabei keine Einnahmen erzielt werden.</w:t>
      </w:r>
    </w:p>
    <w:p>
      <w:r>
        <w:t xml:space="preserve">(4) Über die Ausnahmeerlaubnis nach den Absätzen 2 und 3 wird vom Luftfahrt-Bundesamt eine Bescheinigung erteilt, die beim Betrieb des Flugzeugs mitzuführen ist.</w:t>
      </w:r>
    </w:p>
    <w:p>
      <w:r>
        <w:rPr>
          <w:color w:val="555555"/>
          <w:sz w:val="17"/>
        </w:rPr>
        <w:t xml:space="preserve">Zitiervorschlag: § 26 LuftVO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https://recht.nulegal.eu/gesetze/LuftVO%202015/26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