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LuftVO 2015 — Besondere Regelungen für den Flugbetrieb auf einem Flugplatz mit Flugverkehrskontrollstelle</w:t>
      </w:r>
    </w:p>
    <w:p>
      <w:r>
        <w:rPr>
          <w:color w:val="555555"/>
          <w:sz w:val="18"/>
        </w:rPr>
        <w:t xml:space="preserve">Luftverkehrs-Ordnung</w:t>
      </w:r>
    </w:p>
    <w:p>
      <w:r>
        <w:rPr>
          <w:color w:val="555555"/>
          <w:sz w:val="18"/>
        </w:rPr>
        <w:t xml:space="preserve">Stand: 10.06.2019 (konsolidierte Textfassung, kein amtliches Inkrafttretensdatum)</w:t>
      </w:r>
    </w:p>
    <w:p>
      <w:r>
        <w:t xml:space="preserve">(1) Ist beim Betrieb eines Luftfahrzeugs an einem Flugplatz mit Flugverkehrskontrolle eine Funkverbindung nicht möglich, so hat der Luftfahrzeugführer auf Anweisungen durch Licht- und Bodensignale sowie auf Zeichen zu achten.</w:t>
      </w:r>
    </w:p>
    <w:p>
      <w:r>
        <w:t xml:space="preserve">(2) Auf einem Flugplatz mit Flugverkehrskontrollstelle tritt für die Zulassung von Abweichungen nach § 23 Absatz 2 die Flugverkehrskontrollstelle an die Stelle der Luftaufsichtsstelle, mit Ausnahme der Zulassung von Abweichungen von § 23 Absatz 1 Nummer 3.</w:t>
      </w:r>
    </w:p>
    <w:p>
      <w:r>
        <w:t xml:space="preserve">(3) Auf dem Rollfeld eines Flugplatzes mit Flugverkehrskontrollstelle bedarf auch der Verkehr von Fußgängern und Fahrzeugen der Erlaubnis der Flugverkehrskontrollstelle. Den von der Flugverkehrskontrollstelle zur Sicherung des Flugplatzverkehrs schriftlich, mündlich, elektronisch, durch Funk, Lichtsignale oder Zeichen erlassenen Verfügungen ist Folge zu leisten.</w:t>
      </w:r>
    </w:p>
    <w:p>
      <w:r>
        <w:rPr>
          <w:color w:val="555555"/>
          <w:sz w:val="17"/>
        </w:rPr>
        <w:t xml:space="preserve">Zitiervorschlag: § 25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