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21k LuftVO 2015 — Betrieb von unbemannten Fluggeräten durch Behörden und Organisationen mit Sicherheitsaufgaben</w:t>
      </w:r>
    </w:p>
    <w:p>
      <w:r>
        <w:rPr>
          <w:color w:val="555555"/>
          <w:sz w:val="18"/>
        </w:rPr>
        <w:t xml:space="preserve">Luftverkehrs-Ordnung</w:t>
      </w:r>
    </w:p>
    <w:p>
      <w:r>
        <w:rPr>
          <w:color w:val="555555"/>
          <w:sz w:val="18"/>
        </w:rPr>
        <w:t xml:space="preserve">Stand: 22.06.2021 (konsolidierte Textfassung, kein amtliches Inkrafttretensdatum)</w:t>
      </w:r>
    </w:p>
    <w:p>
      <w:r>
        <w:t xml:space="preserve">(1) Keiner Genehmigung nach Artikel 12 der Durchführungsverordnung (EU) 2019/947 bedarf der Betrieb von unbemannten Fluggeräten mit weniger als 25 Kilogramm Startmasse durch oder unter Aufsicht von</w:t>
      </w:r>
    </w:p>
    <w:p>
      <w:pPr>
        <w:ind w:left="420"/>
      </w:pPr>
      <w:r>
        <w:t xml:space="preserve">1. Behörden, wenn der Betrieb zur Erfüllung ihrer Aufgaben stattfindet,</w:t>
      </w:r>
    </w:p>
    <w:p>
      <w:pPr>
        <w:ind w:left="420"/>
      </w:pPr>
      <w:r>
        <w:t xml:space="preserve">2. Organisationen mit Sicherheitsaufgaben im Zusammenhang mit Not- und Unglücksfällen sowie Katastrophen.</w:t>
      </w:r>
    </w:p>
    <w:p>
      <w:r>
        <w:t xml:space="preserve">(2) Die Regelungen der §§ 21h und 21i gelten nicht für den Betrieb von unbemannten Fluggeräten durch oder unter Aufsicht von in Absatz 1 genannten Stellen.</w:t>
      </w:r>
    </w:p>
    <w:p>
      <w:r>
        <w:t xml:space="preserve">(3) Behörden und Organisationen mit Sicherheitsaufgaben sind von der Pflicht zum Betrieb von Zusatzgeräten für die direkte Fernidentifizierung ausgenommen, soweit der Einsatz von unbemannten Fluggeräten zur Erfüllung ihrer gesetzlichen Aufgaben erfolgt.</w:t>
      </w:r>
    </w:p>
    <w:p>
      <w:r>
        <w:rPr>
          <w:color w:val="555555"/>
          <w:sz w:val="17"/>
        </w:rPr>
        <w:t xml:space="preserve">Zitiervorschlag: § 21k LuftVO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https://recht.nulegal.eu/gesetze/LuftVO%202015/21k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