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21i LuftVO 2015 — Erteilung einer Genehmigung</w:t>
      </w:r>
    </w:p>
    <w:p>
      <w:r>
        <w:rPr>
          <w:color w:val="555555"/>
          <w:sz w:val="18"/>
        </w:rPr>
        <w:t xml:space="preserve">Luftverkehrs-Ordnung</w:t>
      </w:r>
    </w:p>
    <w:p>
      <w:r>
        <w:rPr>
          <w:color w:val="555555"/>
          <w:sz w:val="18"/>
        </w:rPr>
        <w:t xml:space="preserve">Stand: 22.06.2021 (konsolidierte Textfassung, kein amtliches Inkrafttretensdatum)</w:t>
      </w:r>
    </w:p>
    <w:p>
      <w:r>
        <w:t xml:space="preserve">(1) Für die in § 21h Absatz 3 und 4 genannten geografischen Gebiete kann die örtlich zuständige Luftfahrtbehörde des Landes über die dort festgelegten Regelungen hinaus in begründeten Fällen den Betrieb von unbemannten Fluggeräten zulassen, wenn</w:t>
      </w:r>
    </w:p>
    <w:p>
      <w:pPr>
        <w:ind w:left="420"/>
      </w:pPr>
      <w:r>
        <w:t xml:space="preserve">1. der beabsichtigte Betrieb und die Nutzung des Luftraums nicht zu einer Gefahr für die Sicherheit des Luftverkehrs oder zu einer Gefahr für die öffentliche Sicherheit oder Ordnung, insbesondere zu einer Verletzung der Vorschriften über den Datenschutz und über den Natur- und Umweltschutz, führen und</w:t>
      </w:r>
    </w:p>
    <w:p>
      <w:pPr>
        <w:ind w:left="420"/>
      </w:pPr>
      <w:r>
        <w:t xml:space="preserve">2. der Schutz vor Fluglärm angemessen berücksichtigt ist.</w:t>
      </w:r>
    </w:p>
    <w:p>
      <w:r>
        <w:t xml:space="preserve">§ 20 Absatz 5 gilt entsprechend.</w:t>
      </w:r>
    </w:p>
    <w:p>
      <w:r>
        <w:t xml:space="preserve">(2) Die zuständige Luftfahrtbehörde des Landes bestimmt nach pflichtgemäßem Ermessen, welche Unterlagen dem Antrag nach Absatz 1 beigefügt werden müssen. Sie kann insbesondere Folgendes verlangen:</w:t>
      </w:r>
    </w:p>
    <w:p>
      <w:pPr>
        <w:ind w:left="420"/>
      </w:pPr>
      <w:r>
        <w:t xml:space="preserve">1. den Nachweis, dass der Grundstückseigentümer oder sonstige Nutzungsberechtigte dem Betrieb zugestimmt hat,</w:t>
      </w:r>
    </w:p>
    <w:p>
      <w:pPr>
        <w:ind w:left="420"/>
      </w:pPr>
      <w:r>
        <w:t xml:space="preserve">2. das Gutachten eines Sachverständigen über die Eignung des Geländes und des betroffenen Luftraums für den Betrieb von unbemannten Fluggeräten,</w:t>
      </w:r>
    </w:p>
    <w:p>
      <w:pPr>
        <w:ind w:left="420"/>
      </w:pPr>
      <w:r>
        <w:t xml:space="preserve">3. weitere fachspezifische Bewertungen oder Gutachten, insbesondere zum Natur- und Lärmschutz,</w:t>
      </w:r>
    </w:p>
    <w:p>
      <w:r>
        <w:t xml:space="preserve">sofern diese Unterlagen für die Prüfung des Antrags im Einzelfall jeweils erforderlich sind.</w:t>
      </w:r>
    </w:p>
    <w:p>
      <w:r>
        <w:t xml:space="preserve">(3) Schutzvorschriften insbesondere des Bundes-Immissionsschutzgesetzes und des Bundesnaturschutzgesetzes, Rechtsvorschriften, die auf Grund dieser Gesetze erlassen worden sind oder fortgelten, das Naturschutzrecht der Länder sowie die Pflicht zur ordnungsgemäßen Flugvorbereitung im Sinne des Anhangs SERA.2010 Buchstabe b der Durchführungsverordnung (EU) Nr. 923/2012 bleiben unberührt.</w:t>
      </w:r>
    </w:p>
    <w:p>
      <w:r>
        <w:rPr>
          <w:color w:val="555555"/>
          <w:sz w:val="17"/>
        </w:rPr>
        <w:t xml:space="preserve">Zitiervorschlag: § 21i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https://recht.nulegal.eu/gesetze/LuftVO%202015/21i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21i LuftVO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