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21f LuftVO 2015 — Regelungen für den Betrieb von Flugmodellen im Rahmen von Luftsportverbänden nach der Durchführungsverordnung (EU) 2019/947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22.06.2021 (konsolidierte Textfassung, kein amtliches Inkrafttretensdatum)</w:t>
      </w:r>
    </w:p>
    <w:p>
      <w:r>
        <w:t xml:space="preserve">(1) Der Betrieb von Flugmodellen durch Mitglieder von Luftsportverbänden oder durch Mitglieder von in Luftsportverbänden organisierten Modellflugvereinen ist abweichend von den in der Durchführungsverordnung (EU) 2019/947 festgelegten Anforderungen an den Betrieb von unbemannten Fluggeräten zulässig, sofern er unter Einhaltung einschlägiger verbandsinterner Verfahren erfolgt, auf deren Grundlage eine Genehmigung nach Artikel 16 der Durchführungsverordnung (EU) 2019/947 in Verbindung mit § 21g erteilt worden ist. Dabei ist sicherzustellen, dass Fernpiloten die Bestimmungen von Punkt UAS.OPEN.060 Nummer 2 Buchstabe a bis d in Verbindung mit Nummer 4 in Teil A des Anhangs der Durchführungsverordnung (EU) 2019/947 einhalten.</w:t>
      </w:r>
    </w:p>
    <w:p>
      <w:r>
        <w:t xml:space="preserve">(2) Fernpiloten von Flugmodellen mit einer Startmasse von mehr als 2 Kilogramm müssen zusätzlich zu der Erlaubnis nach Absatz 3 über ausreichende Kenntnisse in</w:t>
      </w:r>
    </w:p>
    <w:p>
      <w:pPr>
        <w:ind w:left="420"/>
      </w:pPr>
      <w:r>
        <w:t xml:space="preserve">1. der Anwendung und der sicheren Steuerung der betriebenen Flugmodelle,</w:t>
      </w:r>
    </w:p>
    <w:p>
      <w:pPr>
        <w:ind w:left="420"/>
      </w:pPr>
      <w:r>
        <w:t xml:space="preserve">2. den einschlägigen luftrechtlichen Grundlagen und</w:t>
      </w:r>
    </w:p>
    <w:p>
      <w:pPr>
        <w:ind w:left="420"/>
      </w:pPr>
      <w:r>
        <w:t xml:space="preserve">3. der örtlichen Luftraumordnung</w:t>
      </w:r>
    </w:p>
    <w:p>
      <w:r>
        <w:t xml:space="preserve">verfügen. Sie dürfen ein Flugmodell nach Satz 1 nur dann betreiben, wenn sie vor der erstmaligen Aufnahme des Betriebs an einer Schulungsmaßnahme des Luftsportverbandes, dem eine Genehmigung nach Artikel 16 der Durchführungsverordnung (EU) 2019/947 erteilt worden ist, teilgenommen haben. Eine Bescheinigung über diese Teilnahme, die fünf Jahre Gültigkeit besitzt, ist während des Betriebs mitzuführen.</w:t>
      </w:r>
    </w:p>
    <w:p>
      <w:r>
        <w:t xml:space="preserve">(3) Der Betrieb von Flugmodellen im Rahmen von Luftsportverbänden bedarf der Erlaubnis, sofern es sich um Flugmodelle handelt</w:t>
      </w:r>
    </w:p>
    <w:p>
      <w:pPr>
        <w:ind w:left="420"/>
      </w:pPr>
      <w:r>
        <w:t xml:space="preserve">1. mit mehr als 12 Kilogramm Startmasse,</w:t>
      </w:r>
    </w:p>
    <w:p>
      <w:pPr>
        <w:ind w:left="420"/>
      </w:pPr>
      <w:r>
        <w:t xml:space="preserve">2. mit Raketenantrieb, sofern die Masse des Treibsatzes mehr als 20 Gramm beträgt,</w:t>
      </w:r>
    </w:p>
    <w:p>
      <w:pPr>
        <w:ind w:left="420"/>
      </w:pPr>
      <w:r>
        <w:t xml:space="preserve">3. mit Verbrennungsmotor, die in einer Entfernung von weniger als 1,5 Kilometern von Wohngebieten betrieben werden.</w:t>
      </w:r>
    </w:p>
    <w:p>
      <w:r>
        <w:t xml:space="preserve">Über Satz 1 hinaus bedarf der Betrieb aller Flugmodelle bei Nacht im Sinne des Artikels 2 Satz 2 Nummer 34 der Durchführungsverordnung (EU) 2019/947 der Erlaubnis.</w:t>
      </w:r>
    </w:p>
    <w:p>
      <w:r>
        <w:t xml:space="preserve">(4) Zuständige Behörde für die Erteilung einer Erlaubnis nach Absatz 3 ist die Luftfahrtbehörde des Landes. Die örtliche Zuständigkeit richtet sich nach der Lage des Geländes, über dem der Betrieb von Flugmodellen stattfinden soll.</w:t>
      </w:r>
    </w:p>
    <w:p>
      <w:r>
        <w:t xml:space="preserve">(5) Der Antrag auf Erlaubnis nach Absatz 3 ist von dem Mitglied des Luftsportverbandes oder im Fall des Modellflugvereins durch eine entsprechend vertretungsberechtigte Person bei der zuständigen Behörde nach Absatz 4 zu stellen. Der Antrag muss folgende Angaben enthalten:</w:t>
      </w:r>
    </w:p>
    <w:p>
      <w:pPr>
        <w:ind w:left="420"/>
      </w:pPr>
      <w:r>
        <w:t xml:space="preserve">1. Name und Anschrift des Antragstellers,</w:t>
      </w:r>
    </w:p>
    <w:p>
      <w:pPr>
        <w:ind w:left="420"/>
      </w:pPr>
      <w:r>
        <w:t xml:space="preserve">2. Unterlagen zum Nachweis der Erfüllung der in Absatz 2 Satz 1 Nummer 1 bis 3 genannten Voraussetzungen.</w:t>
      </w:r>
    </w:p>
    <w:p>
      <w:r>
        <w:t xml:space="preserve">(6) Die zuständige Behörde bestimmt nach pflichtgemäßem Ermessen, ob dem Antrag auf Erteilung einer Erlaubnis weitere Unterlagen beigefügt werden müssen. Sie kann insbesondere noch verlangen:</w:t>
      </w:r>
    </w:p>
    <w:p>
      <w:pPr>
        <w:ind w:left="420"/>
      </w:pPr>
      <w:r>
        <w:t xml:space="preserve">1. den Nachweis, dass der Grundstückseigentümer oder sonstige Nutzungsberechtigte dem Aufstieg zugestimmt hat,</w:t>
      </w:r>
    </w:p>
    <w:p>
      <w:pPr>
        <w:ind w:left="420"/>
      </w:pPr>
      <w:r>
        <w:t xml:space="preserve">2. das Gutachten eines Sachverständigen über die Eignung des Geländes und des betroffenen Luftraums für den Betrieb von Flugmodellen,</w:t>
      </w:r>
    </w:p>
    <w:p>
      <w:pPr>
        <w:ind w:left="420"/>
      </w:pPr>
      <w:r>
        <w:t xml:space="preserve">3. weitere fachspezifische Bewertungen oder Gutachten, insbesondere zum Natur- und Lärmschutz,</w:t>
      </w:r>
    </w:p>
    <w:p>
      <w:r>
        <w:t xml:space="preserve">sofern diese Unterlagen für die Prüfung des Antrags im Einzelfall jeweils erforderlich sind.</w:t>
      </w:r>
    </w:p>
    <w:p>
      <w:r>
        <w:t xml:space="preserve">(7) Schutzvorschriften insbesondere des Bundesnaturschutzgesetzes, des Bundes-Immissionsschutzgesetzes und Rechtsvorschriften, die auf Grund dieser Gesetze erlassen worden sind oder fortgelten, sowie das Naturschutzrecht der Länder bleiben unberührt.</w:t>
      </w:r>
    </w:p>
    <w:p>
      <w:r>
        <w:rPr>
          <w:color w:val="555555"/>
          <w:sz w:val="17"/>
        </w:rPr>
        <w:t xml:space="preserve">Zitiervorschlag: § 21f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https://recht.nulegal.eu/gesetze/LuftVO%202015/21f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