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21c LuftVO 2015 — Zuständige Behörde für den Betrieb von unbemannten Fluggeräten in der Betriebskategorie „zulassungspflichtig“ nach der Durchführungsverordnung (EU) 2019/947; Verkehrsvorschriften</w:t>
      </w:r>
    </w:p>
    <w:p>
      <w:r>
        <w:rPr>
          <w:color w:val="555555"/>
          <w:sz w:val="18"/>
        </w:rPr>
        <w:t xml:space="preserve">Luftverkehrs-Ordnung</w:t>
      </w:r>
    </w:p>
    <w:p>
      <w:r>
        <w:rPr>
          <w:color w:val="555555"/>
          <w:sz w:val="18"/>
        </w:rPr>
        <w:t xml:space="preserve">Stand: 22.06.2021 (konsolidierte Textfassung, kein amtliches Inkrafttretensdatum)</w:t>
      </w:r>
    </w:p>
    <w:p>
      <w:r>
        <w:t xml:space="preserve">(1) Zuständige Behörde in der Betriebskategorie „zulassungspflichtig“ für die Erteilung einer Zulassung nach den Artikeln 6, 7 Absatz 3 und 11 der Durchführungsverordnung (EU) 2019/947 in Verbindung mit der Delegierten Verordnung (EU) 2019/945 der Kommission vom 12. März 2019 über unbemannte Luftfahrzeugsysteme und Drittlandbetreiber unbemannter Luftfahrzeugsysteme (ABl. L 152 vom 11.6.2019, S. 1), die durch die Delegierte Verordnung (EU) 2020/1058 (ABl. L 232 vom 20.7.2020, S. 1) geändert worden ist, ist das Luftfahrt-Bundesamt.</w:t>
      </w:r>
    </w:p>
    <w:p>
      <w:r>
        <w:t xml:space="preserve">(2) Für den Betrieb in der Betriebskategorie „zulassungspflichtig“ gelten die Verkehrsvorschriften für bemannte, motorgetriebene Luftfahrzeuge entsprechend, soweit sie Einfluss auf die Belange des Umwelt-, Lärm- oder Naturschutzes haben können.</w:t>
      </w:r>
    </w:p>
    <w:p>
      <w:r>
        <w:rPr>
          <w:color w:val="555555"/>
          <w:sz w:val="17"/>
        </w:rPr>
        <w:t xml:space="preserve">Zitiervorschlag: § 21c LuftVO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https://recht.nulegal.eu/gesetze/LuftVO%202015/21c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