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LuftVO 2015 — Erlaubnisbedürftige Nutzung des Luftraums</w:t>
      </w:r>
    </w:p>
    <w:p>
      <w:r>
        <w:rPr>
          <w:color w:val="555555"/>
          <w:sz w:val="18"/>
        </w:rPr>
        <w:t xml:space="preserve">Luftverkehrs-Ordnung</w:t>
      </w:r>
    </w:p>
    <w:p>
      <w:r>
        <w:rPr>
          <w:color w:val="555555"/>
          <w:sz w:val="18"/>
        </w:rPr>
        <w:t xml:space="preserve">Stand: 10.06.2019 (konsolidierte Textfassung, kein amtliches Inkrafttretensdatum)</w:t>
      </w:r>
    </w:p>
    <w:p>
      <w:r>
        <w:t xml:space="preserve">(1) Die folgenden Arten der Nutzung des Luftraums bedürfen der Erlaubnis:</w:t>
      </w:r>
    </w:p>
    <w:p>
      <w:pPr>
        <w:ind w:left="420"/>
      </w:pPr>
      <w:r>
        <w:t xml:space="preserve">1. das Steigenlassen von Drachen und Schirmdrachen, wenn sie mit einem Seil von mehr als 100 Metern Länge gehalten werden,</w:t>
      </w:r>
    </w:p>
    <w:p>
      <w:pPr>
        <w:ind w:left="420"/>
      </w:pPr>
      <w:r>
        <w:t xml:space="preserve">2. der Aufstieg von Feuerwerkskörpern, wenn sie mehr als 300 Meter aufsteigen,</w:t>
      </w:r>
    </w:p>
    <w:p>
      <w:pPr>
        <w:ind w:left="420"/>
      </w:pPr>
      <w:r>
        <w:t xml:space="preserve">3. der Aufstieg von Fesselballonen, wenn sie mit einem Halteseil von mehr als 30 Metern Länge gehalten werden,</w:t>
      </w:r>
    </w:p>
    <w:p>
      <w:pPr>
        <w:ind w:left="420"/>
      </w:pPr>
      <w:r>
        <w:t xml:space="preserve">4. der Betrieb von ungesteuerten Flugkörpern mit Eigenantrieb,</w:t>
      </w:r>
    </w:p>
    <w:p>
      <w:pPr>
        <w:ind w:left="420"/>
      </w:pPr>
      <w:r>
        <w:t xml:space="preserve">5. der Betrieb von Scheinwerfern oder optischen Lichtsignalgeräten, insbesondere von Lasergeräten, die geeignet sind, Luftfahrzeugführer während des An- oder Abflugs zu blenden,</w:t>
      </w:r>
    </w:p>
    <w:p>
      <w:pPr>
        <w:ind w:left="420"/>
      </w:pPr>
      <w:r>
        <w:t xml:space="preserve">6. der Betrieb von unbemannten Freiballonen nach Anlage 2 der Durchführungsverordnung (EU) Nr. 923/2012 im Hoheitsgebiet der Bundesrepublik Deutschland.</w:t>
      </w:r>
    </w:p>
    <w:p>
      <w:r>
        <w:t xml:space="preserve">Der Starter eines Drachens, Schirmdrachens oder unbemannten Fesselballons muss das Halteseil in Abständen von 100 Metern bei Tag durch rotweiße Fähnchen, bei Nacht durch rote und weiße Blitz- oder Blinklichter so kenntlich machen, dass es von anderen Luftfahrzeugen aus erkennbar ist.</w:t>
      </w:r>
    </w:p>
    <w:p>
      <w:r>
        <w:t xml:space="preserve">(2) Zuständige Behörde für die Erteilung der Erlaubnis nach Absatz 1 ist die örtlich zuständige Luftfahrtbehörde des Landes.</w:t>
      </w:r>
    </w:p>
    <w:p>
      <w:r>
        <w:t xml:space="preserve">(3) Die zuständige Behörde bestimmt, welche Unterlagen der Antrag auf Erteilung der Erlaubnis enthalten muss. Sie kann insbesondere das Gutachten eines Sachverständigen über die Eignung des Geländes und des Luftraums verlangen. Die zuständige Behörde kann vom Antragsteller den Nachweis verlangen, dass der Eigentümer oder sonstige Nutzungsberechtigte des Grundstücks, auf dem der Aufstieg stattfinden soll, der Nutzung zustimmt.</w:t>
      </w:r>
    </w:p>
    <w:p>
      <w:r>
        <w:t xml:space="preserve">(4) Die Erlaubnis wird erteilt, wenn die beabsichtigte Nutzung des Luftraums nicht zu einer Gefahr für die Sicherheit des Luftverkehrs oder für die öffentliche Sicherheit oder Ordnung führt.</w:t>
      </w:r>
    </w:p>
    <w:p>
      <w:r>
        <w:t xml:space="preserve">(5) Die Erlaubnis kann natürlichen und juristischen Personen oder Personenvereinigungen allgemein oder für den Einzelfall erteilt werden. Sie kann mit Nebenbestimmungen versehen, insbesondere mit Auflagen verbunden werden.</w:t>
      </w:r>
    </w:p>
    <w:p>
      <w:r>
        <w:rPr>
          <w:color w:val="555555"/>
          <w:sz w:val="17"/>
        </w:rPr>
        <w:t xml:space="preserve">Zitiervorschlag: § 20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