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LuftVO 2015 — Verbotene Nutzung des Luftraums</w:t>
      </w:r>
    </w:p>
    <w:p>
      <w:r>
        <w:rPr>
          <w:color w:val="555555"/>
          <w:sz w:val="18"/>
        </w:rPr>
        <w:t xml:space="preserve">Luftverkehrs-Ordnung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einer Entfernung von weniger als 1,5 Kilometern von der Begrenzung von Flugplätzen sind folgende Arten der Nutzung des Luftraums verboten:</w:t>
      </w:r>
    </w:p>
    <w:p>
      <w:pPr>
        <w:ind w:left="420"/>
      </w:pPr>
      <w:r>
        <w:t xml:space="preserve">1. das Steigenlassen von Drachen und Kinderballonen oder das Betreiben von Schirmdrachen,</w:t>
      </w:r>
    </w:p>
    <w:p>
      <w:pPr>
        <w:ind w:left="420"/>
      </w:pPr>
      <w:r>
        <w:t xml:space="preserve">2. der Aufstieg</w:t>
      </w:r>
    </w:p>
    <w:p>
      <w:pPr>
        <w:ind w:left="780"/>
      </w:pPr>
      <w:r>
        <w:t xml:space="preserve">a) von Feuerwerkskörpern</w:t>
      </w:r>
    </w:p>
    <w:p>
      <w:pPr>
        <w:ind w:left="1140"/>
      </w:pPr>
      <w:r>
        <w:t xml:space="preserve">aa) der Kategorie F2 im Sinne des Sprengstoffgesetzes in der jeweils geltenden Fassung in der Zeit vom 2. Januar bis 30. Dezember,</w:t>
      </w:r>
    </w:p>
    <w:p>
      <w:pPr>
        <w:ind w:left="1140"/>
      </w:pPr>
      <w:r>
        <w:t xml:space="preserve">bb) der Kategorien F3, F4, P2 und T2 im Sinne des Sprengstoffgesetzes in der jeweils geltenden Fassung,</w:t>
      </w:r>
    </w:p>
    <w:p>
      <w:pPr>
        <w:ind w:left="780"/>
      </w:pPr>
      <w:r>
        <w:t xml:space="preserve">b) von ballonartigen Leuchtkörpern, insbesondere von Flug- oder Himmelslaternen, während der Betriebszeit des Flugplatzes,</w:t>
      </w:r>
    </w:p>
    <w:p>
      <w:pPr>
        <w:ind w:left="420"/>
      </w:pPr>
      <w:r>
        <w:t xml:space="preserve">3. der Betrieb von Scheinwerfern oder optischen Lichtsignalgeräten, insbesondere Lasergeräten, die geeignet sind, den Flugbetrieb an einem Flugplatz zu stören.</w:t>
      </w:r>
    </w:p>
    <w:p>
      <w:r>
        <w:t xml:space="preserve">(2) Die örtlich zuständige Luftfahrtbehörde des Landes kann Ausnahmen von dem Verbot nach Absatz 1 zulassen, wenn von der beantragten Nutzung des Luftraums keine Gefahren für die öffentliche Sicherheit und Ordnung ausgehen.</w:t>
      </w:r>
    </w:p>
    <w:p>
      <w:r>
        <w:t xml:space="preserve">(3) Landesrechtliche Regelungen, die Aufstiege von ballonartigen Leuchtkörpern verbieten, bleiben unberührt.</w:t>
      </w:r>
    </w:p>
    <w:p>
      <w:r>
        <w:rPr>
          <w:color w:val="555555"/>
          <w:sz w:val="17"/>
        </w:rPr>
        <w:t xml:space="preserve">Zitiervorschlag: § 19 LuftVO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https://recht.nulegal.eu/gesetze/LuftVO%202015/19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