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LuftVO 2015 — Erlaubnisbedürftige Außenstarts und Außenlandungen</w:t>
      </w:r>
    </w:p>
    <w:p>
      <w:r>
        <w:rPr>
          <w:color w:val="555555"/>
          <w:sz w:val="18"/>
        </w:rPr>
        <w:t xml:space="preserve">Luftverkehrs-Ordnung</w:t>
      </w:r>
    </w:p>
    <w:p>
      <w:r>
        <w:rPr>
          <w:color w:val="555555"/>
          <w:sz w:val="18"/>
        </w:rPr>
        <w:t xml:space="preserve">Stand: 10.06.2019 (konsolidierte Textfassung, kein amtliches Inkrafttretensdatum)</w:t>
      </w:r>
    </w:p>
    <w:p>
      <w:r>
        <w:t xml:space="preserve">(1) Starts und Landungen von Luftfahrzeugen außerhalb der für sie genehmigten Flugplätze (Außenstart und Außenlandung) nach § 25 des Luftverkehrsgesetzes bedürfen der Erlaubnis der örtlich zuständigen Luftfahrtbehörde des Landes, soweit nicht der Beauftragte nach § 31c des Luftverkehrsgesetzes zuständig ist. Die Erlaubnis für Außenstarts und Außenlandungen von Hängegleitern und Gleitseglern schließt Schleppstarts durch Winden ein.</w:t>
      </w:r>
    </w:p>
    <w:p>
      <w:r>
        <w:t xml:space="preserve">(2) Absatz 1 gilt für Außenlandungen mit Sprungfallschirmen entsprechend.</w:t>
      </w:r>
    </w:p>
    <w:p>
      <w:r>
        <w:t xml:space="preserve">(3) Keiner Erlaubnis nach § 25 Absatz 1 des Luftverkehrsgesetzes bedürfen Außenlandungen von Segelflugzeugen, Motorseglern (außer Reisemotorseglern), Hängegleitern und Gleitseglern sowie bemannten Freiballonen, wenn der Ort der Landung nicht vorausbestimmbar ist.</w:t>
      </w:r>
    </w:p>
    <w:p>
      <w:r>
        <w:t xml:space="preserve">(4) Das Luftfahrt-Bundesamt erteilt eine Genehmigung nach § 25 Absatz 4 des Luftverkehrsgesetzes, wenn die Voraussetzungen von Anhang IV CAT.POL.H.225 der Verordnung (EU) Nr. 965/2012 mit Ausnahme von CAT.POL.H.225 Buchstabe a Nummer 1 vorliegen, und</w:t>
      </w:r>
    </w:p>
    <w:p>
      <w:pPr>
        <w:ind w:left="420"/>
      </w:pPr>
      <w:r>
        <w:t xml:space="preserve">1. das Luftfahrtunternehmen über eine Genehmigung des Luftfahrt-Bundesamtes für medizinische Hubschraubernoteinsätze gemäß Anhang V SPA.HEMS.100 der Verordnung (EU) Nr. 965/2012 der Kommission vom 5. Oktober 2012 zur Festlegung technischer Vorschriften und von Verwaltungsverfahren in Bezug auf den Flugbetrieb gemäß der Verordnung (EG) Nr. 216/2008 des Europäischen Parlaments und des Rates (ABl. L 296 vom 25.10.2012, S. 1) in der jeweils geltenden Fassung verfügt,</w:t>
      </w:r>
    </w:p>
    <w:p>
      <w:pPr>
        <w:ind w:left="420"/>
      </w:pPr>
      <w:r>
        <w:t xml:space="preserve">2. der Flugbetrieb am Tag stattfindet, es sei denn, das Luftfahrtunternehmen verfügt über eine Genehmigung gemäß Anhang V SPA.NVIS.100 der Verordnung (EU) Nr. 965/2012 oder über ein Verfahren, durch das eine ausreichende Ausleuchtung der Start- und Landefläche und ihrer Umgebung sichergestellt wird,</w:t>
      </w:r>
    </w:p>
    <w:p>
      <w:pPr>
        <w:ind w:left="420"/>
      </w:pPr>
      <w:r>
        <w:t xml:space="preserve">3. sich die Landestelle am Boden befindet und</w:t>
      </w:r>
    </w:p>
    <w:p>
      <w:pPr>
        <w:ind w:left="420"/>
      </w:pPr>
      <w:r>
        <w:t xml:space="preserve">4. das Luftfahrtunternehmen die Anzahl der Flugbewegungen für jede genutzte Landestelle an Einrichtungen von öffentlichem Interesse für jedes Kalenderjahr erhebt und bis zum 1. Februar des Folgejahres an das Luftfahrt-Bundesamt meldet.</w:t>
      </w:r>
    </w:p>
    <w:p>
      <w:r>
        <w:t xml:space="preserve">Für Landestellen auf Gebäuden darf eine Genehmigung nur erteilt werden, wenn neben den Voraussetzungen nach Satz 1 mit Ausnahme von Nummer 3 eine einzelfallbezogene Prüfung durch das Luftfahrt-Bundesamt ergeben hat, dass ein für den Betrieb der Dachlandestelle hinreichender Sicherheitsstandard unter Berücksichtigung des vorhandenen Brandschutzes, der Fluchtwege sowie der Tragfähigkeit des Gebäudes gewährleistet ist. Im Übrigen teilt das Luftfahrtunternehmen dem Luftfahrt-Bundesamt innerhalb von 24 Monaten nach Erteilung der Genehmigung nach Satz 1 mit, dass die Landestelle die Anforderungen der Anlage 8 erfüllt. Unterbleibt diese Mitteilung, kann die Genehmigung nach Satz 1 widerrufen werden.</w:t>
      </w:r>
    </w:p>
    <w:p>
      <w:r>
        <w:rPr>
          <w:color w:val="555555"/>
          <w:sz w:val="17"/>
        </w:rPr>
        <w:t xml:space="preserve">Zitiervorschlag: § 18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