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LuftVO 2015 — Luftraumordnung</w:t>
      </w:r>
    </w:p>
    <w:p>
      <w:r>
        <w:rPr>
          <w:color w:val="555555"/>
          <w:sz w:val="18"/>
        </w:rPr>
        <w:t xml:space="preserve">Luftverkehrs-Ordnung</w:t>
      </w:r>
    </w:p>
    <w:p>
      <w:r>
        <w:rPr>
          <w:color w:val="555555"/>
          <w:sz w:val="18"/>
        </w:rPr>
        <w:t xml:space="preserve">Stand: 10.06.2019 (konsolidierte Textfassung, kein amtliches Inkrafttretensdatum)</w:t>
      </w:r>
    </w:p>
    <w:p>
      <w:r>
        <w:t xml:space="preserve">(1) Das Bundesministerium für Verkehr und digitale Infrastruktur legt Folgendes fest:</w:t>
      </w:r>
    </w:p>
    <w:p>
      <w:pPr>
        <w:ind w:left="420"/>
      </w:pPr>
      <w:r>
        <w:t xml:space="preserve">1. die Fluginformationsgebiete zur Durchführung des Fluginformationsdienstes und des Flugalarmdienstes,</w:t>
      </w:r>
    </w:p>
    <w:p>
      <w:pPr>
        <w:ind w:left="420"/>
      </w:pPr>
      <w:r>
        <w:t xml:space="preserve">2. die kontrollierten und unkontrollierten Lufträume nach Anhang SERA.6001 der Durchführungsverordnung (EU) Nr. 923/2012 innerhalb der Fluginformationsgebiete,</w:t>
      </w:r>
    </w:p>
    <w:p>
      <w:pPr>
        <w:ind w:left="420"/>
      </w:pPr>
      <w:r>
        <w:t xml:space="preserve">3. die Zonen mit Funkkommunikationspflicht nach Anhang SERA.6005 Buchstabe a der Durchführungsverordnung (EU) Nr. 923/2012,</w:t>
      </w:r>
    </w:p>
    <w:p>
      <w:pPr>
        <w:ind w:left="420"/>
      </w:pPr>
      <w:r>
        <w:t xml:space="preserve">4. die Zonen mit Transponderpflicht nach Anhang SERA.6005 Buchstabe b der Durchführungsverordnung (EU) Nr. 923/2012.</w:t>
      </w:r>
    </w:p>
    <w:p>
      <w:r>
        <w:t xml:space="preserve">(2) Im kontrollierten Luftraum können Flüge nach Sichtflugregeln ganz oder teilweise in einem räumlich und zeitlich begrenzten Umfang von der Flugsicherungsorganisation untersagt werden, wenn es der Grad der Inanspruchnahme durch den der Flugverkehrskontrolle unterliegenden Luftverkehr zwingend erfordert.</w:t>
      </w:r>
    </w:p>
    <w:p>
      <w:r>
        <w:t xml:space="preserve">(3) Die Flugsicherungsorganisation kann zur Durchführung von militärischem Flugverkehr in Lufträumen, in denen auch für Flüge nach Sichtflugregeln eine Flugverkehrskontrollfreigabe erforderlich ist, zeitlich begrenzt Gebiete festlegen, in denen Flüge nach Sicht- und Instrumentenflugregeln ganz oder teilweise untersagt sind oder Beschränkungen unterliegen, wenn dies zur Abwehr von Gefahren für die Sicherheit des Luftverkehrs erforderlich ist.</w:t>
      </w:r>
    </w:p>
    <w:p>
      <w:r>
        <w:rPr>
          <w:color w:val="555555"/>
          <w:sz w:val="17"/>
        </w:rPr>
        <w:t xml:space="preserve">Zitiervorschlag: § 16 LuftVO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https://recht.nulegal.eu/gesetze/LuftVO%202015/16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