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LuftVO 2015 — Abweichung von Höchstgeschwindigkeiten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Luftfahrzeugführer ist verpflichtet, die in Anhang SERA.6001 Buchstabe c bis g der Durchführungsverordnung (EU) Nr. 923/2012 beschriebenen Geschwindigkeitsbegrenzungen einzuhalten.</w:t>
      </w:r>
    </w:p>
    <w:p>
      <w:r>
        <w:t xml:space="preserve">(2) Das Bundesaufsichtsamt für Flugsicherung kann für Luftfahrzeugmuster, die aus technischen oder Sicherheitsgründen die in Anhang SERA.6001 Buchstabe c bis g der Durchführungsverordnung (EU) Nr. 923/2012 beschriebenen Geschwindigkeitsbeschränkungen nicht einhalten können, Ausnahmen zulassen.</w:t>
      </w:r>
    </w:p>
    <w:p>
      <w:r>
        <w:rPr>
          <w:color w:val="555555"/>
          <w:sz w:val="17"/>
        </w:rPr>
        <w:t xml:space="preserve">Zitiervorschlag: § 11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