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LuftVGFSOrgEÜV — Ermächtigungsübertragung nach § 32 Absatz 4c Satz 1 des Luftverkehrsgesetzes</w:t>
      </w:r>
    </w:p>
    <w:p>
      <w:r>
        <w:rPr>
          <w:color w:val="555555"/>
          <w:sz w:val="18"/>
        </w:rPr>
        <w:t xml:space="preserve">BAF-Ermächtigungsübertragungsverordnung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Das Bundesaufsichtsamt für Flugsicherung wird ermächtigt, Verordnungen nach Maßgabe des § 32 Absatz 4 Nummer 2, 3, 4, 4a, 5, 7 und 7a des Luftverkehrsgesetzes zu erlassen.</w:t>
      </w:r>
    </w:p>
    <w:p>
      <w:r>
        <w:rPr>
          <w:color w:val="555555"/>
          <w:sz w:val="17"/>
        </w:rPr>
        <w:t xml:space="preserve">Zitiervorschlag: § 2 LuftVGFSOrgEÜV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https://recht.nulegal.eu/gesetze/LuftVGFSOrgE%C3%9CV/2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