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LuftVG — Auszug aus EinigVtr Anlage I Kapitel XI Sachgebiet C Abschnitt III (BGBl. II 1990, 889, 1106)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</w:t>
      </w:r>
    </w:p>
    <w:p>
      <w:pPr>
        <w:ind w:left="420"/>
      </w:pPr>
      <w:r>
        <w:t xml:space="preserve">1. Luftverkehrsgesetz in der Fassung der Bekanntmachung vom 14. Januar 1981 (BGBl. I S. 61), zuletzt geändert durch Gesetz vom 28. Juni 1990 (BGBl. I S. 1221),mit folgenden Maßgaben:</w:t>
      </w:r>
    </w:p>
    <w:p>
      <w:pPr>
        <w:ind w:left="780"/>
      </w:pPr>
      <w:r>
        <w:t xml:space="preserve">a) Die §§ 33 bis 56 finden nur auf solche Schadensereignisse Anwendung, die nach dem Wirksamwerden des Beitritts eingetreten sind.</w:t>
      </w:r>
    </w:p>
    <w:p>
      <w:pPr>
        <w:ind w:left="780"/>
      </w:pPr>
      <w:r>
        <w:t xml:space="preserve">b) Der Bundesminister für Verkehr wird ermächtigt, für einen Zeitraum von drei Jahren ab Wirksamwerden des Beitritts Aufgaben nach § 31 Abs. 2, die von den in Artikel 3 genannten Ländern wahrzunehmen wären, auf andere Luftfahrtbehörden zu übertragen.</w:t>
      </w:r>
    </w:p>
    <w:p>
      <w:r>
        <w:rPr>
          <w:color w:val="555555"/>
          <w:sz w:val="17"/>
        </w:rPr>
        <w:t xml:space="preserve">Zitiervorschlag: Anhang EV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