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LuftVG</w:t>
      </w:r>
    </w:p>
    <w:p>
      <w:r>
        <w:rPr>
          <w:color w:val="555555"/>
          <w:sz w:val="18"/>
        </w:rPr>
        <w:t xml:space="preserve">Luftverkehrsgesetz</w:t>
      </w:r>
    </w:p>
    <w:p>
      <w:r>
        <w:rPr>
          <w:color w:val="555555"/>
          <w:sz w:val="18"/>
        </w:rPr>
        <w:t xml:space="preserve">Stand: 30.07.2026 (konsolidierte Textfassung, kein amtliches Inkrafttretensdatum)</w:t>
      </w:r>
    </w:p>
    <w:p>
      <w:r>
        <w:t xml:space="preserve">(1) Beauftragungen nach § 31b Absatz 1 Satz 2 in der Fassung der Bekanntmachung vom 10. Mai 2007 (BGBl. I S. 698) erlöschen mit einer Beauftragung nach § 31f Absatz 1, spätestens mit Ablauf des 31. Dezember 2012. Bis zum Erlöschen der Beauftragungen nach § 31b Absatz 1 Satz 2 in der Fassung der Bekanntmachung vom 10. Mai 2007 (BGBl. I S. 698) arbeiten die Beauftragten nach den Richtlinien des Bundesministeriums für Verkehr und unterstehen der Rechts- und Fachaufsicht des Bundesaufsichtsamtes für Flugsicherung. Gegen die Entscheidungen des Beauftragten nach Satz 1 im Rahmen seines Auftrags ist der Widerspruch statthaft. Der Widerspruch hat keine aufschiebende Wirkung. Hilft der Beauftragte nicht ab, entscheidet das Bundesaufsichtsamt für Flugsicherung. Die Klage ist gegen die Bundesrepublik Deutschland, vertreten durch das Bundesministeriums für Verkehr, zu richten.</w:t>
      </w:r>
    </w:p>
    <w:p>
      <w:r>
        <w:t xml:space="preserve">(2) Werden an einem Flugplatz nach § 27d Absatz 4 die in Absatz 1 genannten Beauftragten nach § 31b Absatz 1 Satz 2 in der Fassung der Bekanntmachung vom 10. Mai 2007 (BGBl. I S. 698) von einem Flugplatzunternehmen oder einem Land einer Flugsicherungsorganisation nach § 31f Absatz 1 zur Wahrnehmung von Aufgaben der Flugsicherung überlassen, gilt dieser Einsatz als Arbeitnehmerüberlassung im Sinne des Arbeitnehmerüberlassungsgesetzes.</w:t>
      </w:r>
    </w:p>
    <w:p>
      <w:r>
        <w:t xml:space="preserve">(2a) § 31b Absatz 3 Satz 3 ist auch für Wirtschaftsjahre anzuwenden, die vor dem 30. Juni 2013 enden.</w:t>
      </w:r>
    </w:p>
    <w:p>
      <w:r>
        <w:t xml:space="preserve">(3) Für bereits zum 29. August 2009 tätige Wirtschaftsunternehmen nach § 27c Absatz 2 Satz 3 gilt die nach § 27c Absatz 2 Satz 4 vorgeschriebene Anzeige als erteilt.</w:t>
      </w:r>
    </w:p>
    <w:p>
      <w:r>
        <w:t xml:space="preserve">(4) Bis zum 31. Dezember 2014 gelten die zum 29. August 2009</w:t>
      </w:r>
    </w:p>
    <w:p>
      <w:pPr>
        <w:ind w:left="420"/>
      </w:pPr>
      <w:r>
        <w:t xml:space="preserve">a) im deutschen Luftraum in grenznahen Bereichen ausgeübten Tätigkeiten ausländischer Flugsicherungsorganisationen als nach § 31b Absatz 6 gestattet,</w:t>
      </w:r>
    </w:p>
    <w:p>
      <w:pPr>
        <w:ind w:left="420"/>
      </w:pPr>
      <w:r>
        <w:t xml:space="preserve">b) an Flugplätzen nach § 27d Absatz 4 durch ausländische Flugsicherungsorganisationen nach § 31f Absatz 1 ausgeübten Tätigkeiten bei Vorliegen aller anderen Voraussetzungen als gestattet.</w:t>
      </w:r>
    </w:p>
    <w:p>
      <w:r>
        <w:t xml:space="preserve">(5) § 18a Absatz 1 Satz 1 Nummer 2 ist erst anzuwenden, wenn</w:t>
      </w:r>
    </w:p>
    <w:p>
      <w:pPr>
        <w:ind w:left="420"/>
      </w:pPr>
      <w:r>
        <w:t xml:space="preserve">1. das Bewertungs- und Nachweisverfahren einer Störung an stationären militärischen Einrichtungen zur Kontrolle des Flugbetriebs (Luftverteidigungsradare) einer unabhängigen wissenschaftlichen Studie unterzogen wurde, die dem aktuellen Stand der Wissenschaft entspricht,</w:t>
      </w:r>
    </w:p>
    <w:p>
      <w:pPr>
        <w:ind w:left="420"/>
      </w:pPr>
      <w:r>
        <w:t xml:space="preserve">2. zu den Ergebnissen der Studie nach Nummer 1 und dem darauf aufbauenden neuen Bewertungs- und Nachweisverfahren das Bundesministerium für Wirtschaft und Energie, die Länder, die kommunalen Spitzenverbänden, die Fachkreise und die betroffenen Verbände beteiligt worden sind,</w:t>
      </w:r>
    </w:p>
    <w:p>
      <w:pPr>
        <w:ind w:left="420"/>
      </w:pPr>
      <w:r>
        <w:t xml:space="preserve">3. eine Folgenabschätzung über die Auswirkungen des neuen Bewertungs- und Nachweisverfahrens auf die Zulassung von Windenergieanlagen an Land in ausgewiesenen und in Ausweisung befindlichen Windenergiegebieten erfolgt ist und das Bundesministerium für Wirtschaft und Energie und das Bundesministerium für Umwelt, Klimaschutz, Naturschutz und nukleare Sicherheit diese Auswirkungen als vertretbar bewerten und</w:t>
      </w:r>
    </w:p>
    <w:p>
      <w:pPr>
        <w:ind w:left="420"/>
      </w:pPr>
      <w:r>
        <w:t xml:space="preserve">4. durch das Bundesministerium der Verteidigung im Einvernehmen mit dem Bundesministerium für Wirtschaft und Energie und dem Bundesministerium für Umwelt, Klimaschutz, Naturschutz und nukleare Sicherheit im Bundesgesetzblatt bekanntgemacht wird, dass die vorgenannten Voraussetzungen in Nummer 1 und 3 erfüllt sind.</w:t>
      </w:r>
    </w:p>
    <w:p>
      <w:r>
        <w:rPr>
          <w:color w:val="555555"/>
          <w:sz w:val="17"/>
        </w:rPr>
        <w:t xml:space="preserve">Zitiervorschlag: § 73 LuftVG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