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(1) Die durch das Gesetz zur Harmonisierung des Haftungsrechts im Luftverkehr (BGBl. I S. 550) geänderten Vorschriften des 2. Unterabschnitts des Zweiten Abschnitts und des § 56 gelten nicht, wenn der Vertrag, aus dem die Luftbeförderung geschuldet wird, vor seinem Inkrafttreten geschlossen wurde.</w:t>
      </w:r>
    </w:p>
    <w:p>
      <w:r>
        <w:t xml:space="preserve">(2) § 54 in der durch das Gesetz zur Harmonisierung des Haftungsrechts im Luftverkehr (BGBl. I S. 550) geänderten Fassung gilt nicht, wenn sich der Unfall vor seinem Inkrafttreten ereignet hat.</w:t>
      </w:r>
    </w:p>
    <w:p>
      <w:r>
        <w:t xml:space="preserve">(3) Die durch das Zweite Gesetz zur Harmonisierung des Haftungsrechts im Luftverkehr vom 5. August 2010 (BGBl. I S. 1126) geänderten §§ 45 bis 47 gelten nicht, wenn der Vertrag, aus dem die Luftbeförderung geschuldet wurde, vor dem 11. August 2010 geschlossen wurde.</w:t>
      </w:r>
    </w:p>
    <w:p>
      <w:r>
        <w:t xml:space="preserve">(4) Der durch das Gesetz zur Schlichtung im Luftverkehr vom 11. Juni 2013 (BGBl. I S. 1545) eingefügte 5. Unterabschnitt des Zweiten Abschnitts gilt nicht für Ansprüche, die vor dem 1. November 2013 entstanden sind.</w:t>
      </w:r>
    </w:p>
    <w:p>
      <w:r>
        <w:t xml:space="preserve">(5) Die durch Artikel 21 des Gesetzes zur Umsetzung der Richtlinie über alternative Streitbeilegung in Verbraucherangelegenheiten und zur Durchführung der Verordnung über Online-Streitbeilegung in Verbraucherangelegenheiten vom 19. Februar 2016 (BGBl. I S. 254) geänderten und eingefügten Vorschriften des Zweiten Abschnitts 5. Unterabschnitt gelten nicht für Ansprüche, die vor dem 1. April 2016 entstanden sind.</w:t>
      </w:r>
    </w:p>
    <w:p>
      <w:r>
        <w:t xml:space="preserve">(6) Der durch das Gesetz zur Einführung eines Anspruchs auf Hinterbliebenengeld vom 17. Juli 2017 (BGBl. I S. 2421) angefügte § 35 Absatz 3 gilt nicht, wenn sich der Unfall vor dem 22. Juli 2017 ereignet hat.</w:t>
      </w:r>
    </w:p>
    <w:p>
      <w:r>
        <w:t xml:space="preserve">(7) Die durch das Dritte Gesetz zur Harmonisierung des Haftungsrechts im Luftverkehr vom 10. Juli 2020 (BGBl. I S. 1655) geänderten §§ 45 bis 47 gelten nicht, wenn der Vertrag, aus dem die Luftbeförderung geschuldet wurde, vor dem 17. Juli 2020 geschlossen wurde.</w:t>
      </w:r>
    </w:p>
    <w:p>
      <w:r>
        <w:rPr>
          <w:color w:val="555555"/>
          <w:sz w:val="17"/>
        </w:rPr>
        <w:t xml:space="preserve">Zitiervorschlag: § 72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