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70 LuftVG</w:t>
      </w:r>
    </w:p>
    <w:p>
      <w:r>
        <w:rPr>
          <w:color w:val="555555"/>
          <w:sz w:val="18"/>
        </w:rPr>
        <w:t xml:space="preserve">Luftverkehrsgesetz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(1) Die Luftaufsichtsstelle oder auf Flugplätzen ohne Luftaufsichtsstelle die Flugleitung darf</w:t>
      </w:r>
    </w:p>
    <w:p>
      <w:pPr>
        <w:ind w:left="420"/>
      </w:pPr>
      <w:r>
        <w:t xml:space="preserve">1. zum Zwecke der Erfüllung der ihr nach § 29 dieses Gesetzes zugewiesenen Aufgaben,</w:t>
      </w:r>
    </w:p>
    <w:p>
      <w:pPr>
        <w:ind w:left="420"/>
      </w:pPr>
      <w:r>
        <w:t xml:space="preserve">2. zum Zwecke der Strafverfolgung nach den §§ 59, 60 und 62 dieses Gesetzes,</w:t>
      </w:r>
    </w:p>
    <w:p>
      <w:pPr>
        <w:ind w:left="420"/>
      </w:pPr>
      <w:r>
        <w:t xml:space="preserve">3. zum Zwecke der Verfolgung von Ordnungswidrigkeiten nach § 58 dieses Gesetzes, § 108 der Luftverkehrs-Zulassungs-Ordnung und nach § 43 der Luftverkehrs-Ordnung,</w:t>
      </w:r>
    </w:p>
    <w:p>
      <w:pPr>
        <w:ind w:left="420"/>
      </w:pPr>
      <w:r>
        <w:t xml:space="preserve">4. zum Zwecke der Durchführung des Such- und Rettungsdienstes,</w:t>
      </w:r>
    </w:p>
    <w:p>
      <w:pPr>
        <w:ind w:left="420"/>
      </w:pPr>
      <w:r>
        <w:t xml:space="preserve">5. zum Zwecke der Flugunfalluntersuchung,</w:t>
      </w:r>
    </w:p>
    <w:p>
      <w:pPr>
        <w:ind w:left="420"/>
      </w:pPr>
      <w:r>
        <w:t xml:space="preserve">6. zum Zwecke der Luftfahrtstatistik,</w:t>
      </w:r>
    </w:p>
    <w:p>
      <w:pPr>
        <w:ind w:left="420"/>
      </w:pPr>
      <w:r>
        <w:t xml:space="preserve">7. zum Zwecke der zollrechtlichen Überwachung</w:t>
      </w:r>
    </w:p>
    <w:p>
      <w:r>
        <w:t xml:space="preserve">folgende Daten über den Start und die Landung von Luftfahrzeugen verarbeiten:</w:t>
      </w:r>
    </w:p>
    <w:p>
      <w:pPr>
        <w:ind w:left="420"/>
      </w:pPr>
      <w:r>
        <w:t xml:space="preserve">- Staatszugehörigkeits- und Eintragungszeichen des Luftfahrzeugs,</w:t>
      </w:r>
    </w:p>
    <w:p>
      <w:pPr>
        <w:ind w:left="420"/>
      </w:pPr>
      <w:r>
        <w:t xml:space="preserve">- Luftfahrzeugmuster,</w:t>
      </w:r>
    </w:p>
    <w:p>
      <w:pPr>
        <w:ind w:left="420"/>
      </w:pPr>
      <w:r>
        <w:t xml:space="preserve">- Anzahl der Besatzungsmitglieder,</w:t>
      </w:r>
    </w:p>
    <w:p>
      <w:pPr>
        <w:ind w:left="420"/>
      </w:pPr>
      <w:r>
        <w:t xml:space="preserve">- Anzahl der Fluggäste,</w:t>
      </w:r>
    </w:p>
    <w:p>
      <w:pPr>
        <w:ind w:left="420"/>
      </w:pPr>
      <w:r>
        <w:t xml:space="preserve">- Art des Fluges,</w:t>
      </w:r>
    </w:p>
    <w:p>
      <w:pPr>
        <w:ind w:left="420"/>
      </w:pPr>
      <w:r>
        <w:t xml:space="preserve">- Start- und Zielflugplatz (nur bei Überlandflug).</w:t>
      </w:r>
    </w:p>
    <w:p>
      <w:r>
        <w:t xml:space="preserve">Die Daten sind im Hauptflugbuch zu speichern.</w:t>
      </w:r>
    </w:p>
    <w:p>
      <w:r>
        <w:t xml:space="preserve">(2) Die Daten nach Absatz 1 dürfen an das Bundesministerium für Verkehr, das Bundesministerium der Verteidigung, die Strafverfolgungs- und Justizbehörden, das Luftfahrt-Bundesamt, die Flugsicherungsorganisation, die für die Untersuchung von Flugunfällen zuständige Behörde, an die zuständigen Zolldienststellen und an die Luftfahrtbehörden der Länder übermittelt werden, wenn dies für die in Absatz 1 genannten Zwecke im Einzelfall erforderlich ist.</w:t>
      </w:r>
    </w:p>
    <w:p>
      <w:r>
        <w:t xml:space="preserve">(3) Die Daten sind im Hauptflugbuch zu löschen, soweit sie zur Erfüllung der in Absatz 1 aufgeführten Aufgaben und Zwecke nicht mehr erforderlich sind, spätestens jedoch nach zwei Jahren. Dies gilt nicht, soweit die nach Absatz 1 erhobenen Daten durch Löschung der letzten drei Buchstaben des Eintragungszeichens anonymisiert worden sind.</w:t>
      </w:r>
    </w:p>
    <w:p>
      <w:r>
        <w:rPr>
          <w:color w:val="555555"/>
          <w:sz w:val="17"/>
        </w:rPr>
        <w:t xml:space="preserve">Zitiervorschlag: § 70 LuftVG</w:t>
      </w:r>
    </w:p>
    <w:p>
      <w:r>
        <w:rPr>
          <w:color w:val="555555"/>
          <w:sz w:val="17"/>
        </w:rPr>
        <w:t xml:space="preserve">Quelle: Bundesamt für Justiz, abgerufen 30.07.2026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https://recht.nulegal.eu/gesetze/LuftVG/70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