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68 LuftVG</w:t>
      </w:r>
    </w:p>
    <w:p>
      <w:r>
        <w:rPr>
          <w:color w:val="555555"/>
          <w:sz w:val="18"/>
        </w:rPr>
        <w:t xml:space="preserve">Luftverkehrsgesetz</w:t>
      </w:r>
    </w:p>
    <w:p>
      <w:r>
        <w:rPr>
          <w:color w:val="555555"/>
          <w:sz w:val="18"/>
        </w:rPr>
        <w:t xml:space="preserve">Stand: 10.06.2019 (konsolidierte Textfassung, kein amtliches Inkrafttretensdatum)</w:t>
      </w:r>
    </w:p>
    <w:p>
      <w:r>
        <w:t xml:space="preserve">(1) Rechtskräftige Entscheidungen wegen einer Straftat nach § 60 oder wegen einer Ordnungswidrigkeit nach § 58, die von einem in- oder ausländischen Halter eines Luftfahrzeugs oder von einer für die Leitung eines in- oder ausländischen Luftfahrtunternehmens verantwortlichen Person im Inland begangen wurde, werden vom Luftfahrt-Bundesamt in einem Deliktsregister gespeichert. Die Eintragungen dienen der Beurteilung der Zuverlässigkeit des Halters oder der für die Leitung des Unternehmens verantwortlichen Personen bei der Erteilung und Überwachung von Genehmigungen und Erlaubnissen nach § 20 Abs. 1 und § 21a sowie für Ermessensentscheidungen nach § 2 Abs. 7. Sie sind nach Ablauf von zwei Jahren zu löschen. Die Frist beginnt mit der Rechtskraft der Entscheidung.</w:t>
      </w:r>
    </w:p>
    <w:p>
      <w:r>
        <w:t xml:space="preserve">(2) Die nach § 31 Abs. 2 Nr. 11 für die Erteilung von Genehmigungen für Luftfahrtunternehmen zuständigen Landesbehörden teilen dem Luftfahrt-Bundesamt die ihnen mitgeteilten Entscheidungen von Gerichten und Staatsanwaltschaften nach Absatz 1 Satz 1 unverzüglich mit.</w:t>
      </w:r>
    </w:p>
    <w:p>
      <w:r>
        <w:t xml:space="preserve">(3) Die Daten dürfen nur zu den in Absatz 1 Satz 2 genannten Zwecken verwendet werden.</w:t>
      </w:r>
    </w:p>
    <w:p>
      <w:r>
        <w:t xml:space="preserve">(4) Das Luftfahrt-Bundesamt darf den Stellen, denen die Aufgaben nach Absatz 1 Satz 2 obliegen, die Daten übermitteln, soweit dies zur Erfüllung der genannten Aufgaben erforderlich ist.</w:t>
      </w:r>
    </w:p>
    <w:p>
      <w:r>
        <w:t xml:space="preserve">(5) Der Empfänger darf die übermittelten Daten nur zu dem Zweck verwenden, zu dessen Erfüllung sie ihm übermittelt worden sind.</w:t>
      </w:r>
    </w:p>
    <w:p>
      <w:r>
        <w:rPr>
          <w:color w:val="555555"/>
          <w:sz w:val="17"/>
        </w:rPr>
        <w:t xml:space="preserve">Zitiervorschlag: § 68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