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Verwaltungsbehörde im Sinne des § 36 Abs. 1 Nr. 1 des Gesetzes über Ordnungswidrigkeiten ist, soweit dieses Gesetz nicht von Landesbehörden ausgeführt wird,</w:t>
      </w:r>
    </w:p>
    <w:p>
      <w:pPr>
        <w:ind w:left="420"/>
      </w:pPr>
      <w:r>
        <w:t xml:space="preserve">1. das Luftfahrt-Bundesamt im Bereich der Aufgaben, die ihm übertragen sind oder für die das Bundesministerium für Verkehr zuständig ist, sowie für Ordnungswidrigkeiten nach § 58 Abs. 1 Nr. 15,</w:t>
      </w:r>
    </w:p>
    <w:p>
      <w:pPr>
        <w:ind w:left="420"/>
      </w:pPr>
      <w:r>
        <w:t xml:space="preserve">2. das Bundesministerium für Verkehr im Bereich der Aufgaben, die nach den §§ 31a bis 31c den dort genannten natürlichen oder juristischen Personen des privaten Rechts übertragen sind; § 36 Abs. 3 des Gesetzes über Ordnungswidrigkeiten gilt entsprechend,</w:t>
      </w:r>
    </w:p>
    <w:p>
      <w:pPr>
        <w:ind w:left="420"/>
      </w:pPr>
      <w:r>
        <w:t xml:space="preserve">3. das Bundesamt für Logistik und Mobilität im Bereich der Vorlage und Untersagung von Beförderungsentgelten nach den §§ 21 und 21a,</w:t>
      </w:r>
    </w:p>
    <w:p>
      <w:pPr>
        <w:ind w:left="420"/>
      </w:pPr>
      <w:r>
        <w:t xml:space="preserve">4. das Bundesaufsichtsamt für Flugsicherung für Ordnungswidrigkeiten nach § 58 Abs. 1 Nr. 10 im Zusammenhang mit der Verletzung von Regeln über das Führen von Luftfahrzeugen, Flüge nach Sichtflug- oder Instrumentenflugregeln, Flugverfahren und die damit verbundenen Festlegungen und Anordnungen der Flugverkehrskontrolle sowie für Ordnungswidrigkeiten, die von militärischen Luftfahrzeugführern mit militärischen Luftfahrzeugen begangen werden.</w:t>
      </w:r>
    </w:p>
    <w:p>
      <w:r>
        <w:rPr>
          <w:color w:val="555555"/>
          <w:sz w:val="17"/>
        </w:rPr>
        <w:t xml:space="preserve">Zitiervorschlag: § 63 LuftVG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