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Wer als Führer eines Luftfahrzeugs oder als sonst für die Sicherheit Verantwortlicher durch grob pflichtwidriges Verhalten gegen eine im Rahmen der Luftaufsicht erlassene Verfügung (§ 29) verstößt und dadurch Leib oder Leben eines anderen oder fremde Sachen von bedeutendem Wert gefährdet, wird mit Freiheitsstrafe bis zu fünf Jahren oder mit Geldstrafe bestraft.</w:t>
      </w:r>
    </w:p>
    <w:p>
      <w:r>
        <w:t xml:space="preserve">(2) Wer die Tat fahrlässig begeht, wird mit Freiheitsstrafe bis zu zwei Jahren oder mit Geldstrafe bestraft.</w:t>
      </w:r>
    </w:p>
    <w:p>
      <w:r>
        <w:rPr>
          <w:color w:val="555555"/>
          <w:sz w:val="17"/>
        </w:rPr>
        <w:t xml:space="preserve">Zitiervorschlag: § 59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