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57d LuftVG — Verhältnis zum Verbraucherstreitbeilegungsgesetz</w:t>
      </w:r>
    </w:p>
    <w:p>
      <w:r>
        <w:rPr>
          <w:color w:val="555555"/>
          <w:sz w:val="18"/>
        </w:rPr>
        <w:t xml:space="preserve">Luftverkehrsgesetz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die Vorschriften dieses Unterabschnitts und der nach § 57c erlassenen Rechtsverordnung keine Regelung enthalten, gelten für die Schlichtung von Streitigkeiten über Ansprüche nach § 57b Absatz 1 das Verbraucherstreitbeilegungsgesetz und die auf Grund des § 42 Absatz 1 des Verbraucherstreitbeilegungsgesetzes erlassenen Rechtsverordnungen. Dies gilt auch für die Schlichtung von Streitigkeiten über Ansprüche des Fluggastes nach § 57b Absatz 1, der mit dem Luftfahrtunternehmen nicht vertraglich verbunden ist.</w:t>
      </w:r>
    </w:p>
    <w:p>
      <w:r>
        <w:rPr>
          <w:color w:val="555555"/>
          <w:sz w:val="17"/>
        </w:rPr>
        <w:t xml:space="preserve">Zitiervorschlag: § 57d LuftVG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https://recht.nulegal.eu/gesetze/LuftVG/57d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