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57c LuftVG — Verordnungsermächtigungen</w:t>
      </w:r>
    </w:p>
    <w:p>
      <w:r>
        <w:rPr>
          <w:color w:val="555555"/>
          <w:sz w:val="18"/>
        </w:rPr>
        <w:t xml:space="preserve">Luftverkehrsgesetz</w:t>
      </w:r>
    </w:p>
    <w:p>
      <w:r>
        <w:rPr>
          <w:color w:val="555555"/>
          <w:sz w:val="18"/>
        </w:rPr>
        <w:t xml:space="preserve">Stand: 30.07.2026 (konsolidierte Textfassung, kein amtliches Inkrafttretensdatum)</w:t>
      </w:r>
    </w:p>
    <w:p>
      <w:r>
        <w:t xml:space="preserve">(1) Das Bundesministerium der Justiz und für Verbraucherschutz regelt im Einvernehmen mit dem Bundesministerium für Verkehr und dem Bundesministerium für Wirtschaft und Energie durch Rechtsverordnung, die nicht der Zustimmung des Bundesrates bedarf, weitere Anforderungen an die Schlichtungsstellen nach § 57 und das von den Schlichtungsstellen nach den §§ 57 und 57a zu gewährleistende Schlichtungsverfahren.</w:t>
      </w:r>
    </w:p>
    <w:p>
      <w:r>
        <w:t xml:space="preserve">(2) Die Rechtsverordnung nach Absatz 1 kann auch die Einzelheiten des Verfahrens nach § 57 Absatz 5 regeln.</w:t>
      </w:r>
    </w:p>
    <w:p>
      <w:r>
        <w:t xml:space="preserve">(3) Das Bundesministerium der Justiz und für Verbraucherschutz kann im Einvernehmen mit dem Bundesministerium für Verkehr und dem Bundesministerium für Wirtschaft und Energie durch Rechtsverordnung, die nicht der Zustimmung des Bundesrates bedarf, die Beträge nach § 57b Absatz 1 und 2 Satz 1 Nummer 7 an die allgemeine Preissteigerung anpassen, wenn diese seit dem 1. November 2013 oder seit der letzten Anpassung mehr als 10 Prozent beträgt.</w:t>
      </w:r>
    </w:p>
    <w:p>
      <w:r>
        <w:rPr>
          <w:color w:val="555555"/>
          <w:sz w:val="17"/>
        </w:rPr>
        <w:t xml:space="preserve">Zitiervorschlag: § 57c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https://recht.nulegal.eu/gesetze/LuftVG/57c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