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LuftVG — Gerichtsstand</w:t>
      </w:r>
    </w:p>
    <w:p>
      <w:r>
        <w:rPr>
          <w:color w:val="555555"/>
          <w:sz w:val="18"/>
        </w:rPr>
        <w:t xml:space="preserve">Luftverkehrsgesetz</w:t>
      </w:r>
    </w:p>
    <w:p>
      <w:r>
        <w:rPr>
          <w:color w:val="555555"/>
          <w:sz w:val="18"/>
        </w:rPr>
        <w:t xml:space="preserve">Stand: 10.06.2019 (konsolidierte Textfassung, kein amtliches Inkrafttretensdatum)</w:t>
      </w:r>
    </w:p>
    <w:p>
      <w:r>
        <w:t xml:space="preserve">(1) Für Klagen, die auf Grund dieses Abschnitts erhoben werden, ist auch das Gericht zuständig, in dessen Bezirk der Unfall eingetreten ist.</w:t>
      </w:r>
    </w:p>
    <w:p>
      <w:r>
        <w:t xml:space="preserve">(2) Für Klagen, die auf Grund der §§ 45 bis 47 erhoben werden, ist außerdem das Gericht des Bestimmungsorts zuständig. Im Falle des § 48b kann die Klage gegen den ausführenden Luftfrachtführer auch in dem Gerichtsstand des vertraglichen Luftfrachtführers und die Klage gegen den vertraglichen Luftfrachtführer auch in dem Gerichtsstand des ausführenden Luftfrachtführers erhoben werden.</w:t>
      </w:r>
    </w:p>
    <w:p>
      <w:r>
        <w:t xml:space="preserve">(3) Ist auf die Luftbeförderung eine der in § 44 Nr. 1 bis 4 genannten Übereinkünfte anzuwenden, bestimmt sich der Gerichtsstand nach dieser Übereinkunft. Sind deutsche Gerichte nach Artikel 33 Abs. 2 des Montrealer Übereinkommens zuständig, ist für Klagen auf Ersatz des Schadens, der durch Tod oder Körperverletzung eines Reisenden entstanden ist, das Gericht örtlich zuständig, in dessen Bezirk der Reisende zum Zeitpunkt des Unfalls seinen Wohnsitz hatte.</w:t>
      </w:r>
    </w:p>
    <w:p>
      <w:r>
        <w:rPr>
          <w:color w:val="555555"/>
          <w:sz w:val="17"/>
        </w:rPr>
        <w:t xml:space="preserve">Zitiervorschlag: § 56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