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LuftVG — Haftung für Schäden bei Beförderung in einem militärischen Luftfahrzeug</w:t>
      </w:r>
    </w:p>
    <w:p>
      <w:r>
        <w:rPr>
          <w:color w:val="555555"/>
          <w:sz w:val="18"/>
        </w:rPr>
        <w:t xml:space="preserve">Luftverkehrsgesetz</w:t>
      </w:r>
    </w:p>
    <w:p>
      <w:r>
        <w:rPr>
          <w:color w:val="555555"/>
          <w:sz w:val="18"/>
        </w:rPr>
        <w:t xml:space="preserve">Stand: 10.06.2019 (konsolidierte Textfassung, kein amtliches Inkrafttretensdatum)</w:t>
      </w:r>
    </w:p>
    <w:p>
      <w:r>
        <w:t xml:space="preserve">(1) Wird bei der Beförderung in einem militärischen Luftfahrzeug durch einen Unfall jemand getötet, sein Körper verletzt oder seine Gesundheit geschädigt, ist der Halter des Luftfahrzeugs verpflichtet, den daraus entstehenden Schaden zu ersetzen. Er haftet für jede beförderte Person nur bis zu einem Betrag von 600.000 Euro, wenn</w:t>
      </w:r>
    </w:p>
    <w:p>
      <w:pPr>
        <w:ind w:left="420"/>
      </w:pPr>
      <w:r>
        <w:t xml:space="preserve">1. der Schaden nicht durch sein rechtswidriges und schuldhaftes Handeln oder Unterlassen oder das rechtswidrige und schuldhafte Handeln oder Unterlassen seiner Leute verursacht wurde oder</w:t>
      </w:r>
    </w:p>
    <w:p>
      <w:pPr>
        <w:ind w:left="420"/>
      </w:pPr>
      <w:r>
        <w:t xml:space="preserve">2. der Schaden ausschließlich durch das rechtswidrige und schuldhafte Handeln oder Unterlassen eines Dritten verursacht wurde.</w:t>
      </w:r>
    </w:p>
    <w:p>
      <w:r>
        <w:t xml:space="preserve">(2) Werden bei der Beförderung in einem militärischen Luftfahrzeug Reisegepäck oder andere Sachen, die der Beförderte an sich trägt oder mit sich führt, durch einen Unfall zerstört oder beschädigt, ist der Halter des Luftfahrzeugs verpflichtet, den daraus entstehenden Schaden zu ersetzen. Die Haftung ist für jeden Beförderten auf einen Höchstbetrag von 1.700 Euro beschränkt, es sei denn, der Schaden ist von dem Halter oder seinen Leuten in Ausführung ihrer Verrichtungen vorsätzlich oder grob fahrlässig verursacht worden.</w:t>
      </w:r>
    </w:p>
    <w:p>
      <w:r>
        <w:t xml:space="preserve">(3) Die §§ 40 und 45 Abs. 3 sowie die §§ 48 und 49 sind entsprechend anzuwenden.</w:t>
      </w:r>
    </w:p>
    <w:p>
      <w:r>
        <w:t xml:space="preserve">(4) Die Haftung darf im Voraus durch Vereinbarung weder ausgeschlossen noch beschränkt werden.</w:t>
      </w:r>
    </w:p>
    <w:p>
      <w:r>
        <w:rPr>
          <w:color w:val="555555"/>
          <w:sz w:val="17"/>
        </w:rPr>
        <w:t xml:space="preserve">Zitiervorschlag: § 54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