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LuftVG — Haftung für Schäden außerhalb eines militärischen Luftfahrzeugs</w:t>
      </w:r>
    </w:p>
    <w:p>
      <w:r>
        <w:rPr>
          <w:color w:val="555555"/>
          <w:sz w:val="18"/>
        </w:rPr>
        <w:t xml:space="preserve">Luftverkehrsgesetz</w:t>
      </w:r>
    </w:p>
    <w:p>
      <w:r>
        <w:rPr>
          <w:color w:val="555555"/>
          <w:sz w:val="18"/>
        </w:rPr>
        <w:t xml:space="preserve">Stand: 10.06.2019 (konsolidierte Textfassung, kein amtliches Inkrafttretensdatum)</w:t>
      </w:r>
    </w:p>
    <w:p>
      <w:r>
        <w:t xml:space="preserve">(1) Für Schäden der in § 33 genannten Art, die durch militärische Luftfahrzeuge verursacht werden, haftet der Halter nach den Vorschriften des ersten Unterabschnitts dieses Abschnitts; jedoch ist § 37 nicht anzuwenden.</w:t>
      </w:r>
    </w:p>
    <w:p>
      <w:r>
        <w:t xml:space="preserve">(2) War der Getötete oder Verletzte kraft Gesetzes einem Dritten zur Leistung von Diensten in dessen Hauswesen oder Gewerbe verpflichtet, so hat der Halter des militärischen Luftfahrzeugs dem Dritten auch für die entgehenden Dienste durch Entrichtung einer Geldrente Ersatz zu leisten.</w:t>
      </w:r>
    </w:p>
    <w:p>
      <w:r>
        <w:t xml:space="preserve">(3) (weggefallen)</w:t>
      </w:r>
    </w:p>
    <w:p>
      <w:r>
        <w:rPr>
          <w:color w:val="555555"/>
          <w:sz w:val="17"/>
        </w:rPr>
        <w:t xml:space="preserve">Zitiervorschlag: § 53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