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LuftVG — Subsidiarität der Versicherung des vertraglichen Luftfrachtführers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ein ausführender Luftfrachtführer eine Luftbeförderung für einen vertraglichen Luftfrachtführer aus, besteht eine Pflicht zur Unterhaltung einer Haftpflichtversicherung für den vertraglichen Luftfrachtführer nur, soweit</w:t>
      </w:r>
    </w:p>
    <w:p>
      <w:pPr>
        <w:ind w:left="420"/>
      </w:pPr>
      <w:r>
        <w:t xml:space="preserve">1. der ausführende Luftfrachtführer keine Haftpflichtversicherung bei einem in Deutschland zum Geschäftsbetrieb befugten Versicherer unterhält, die den Anforderungen der jeweils anwendbaren Vorschriften des § 50 oder des Artikels 4 Abs. 1 in Verbindung mit Artikel 6 Abs. 1 und 2 der Verordnung (EG) Nr. 785/2004 entspricht, oder</w:t>
      </w:r>
    </w:p>
    <w:p>
      <w:pPr>
        <w:ind w:left="420"/>
      </w:pPr>
      <w:r>
        <w:t xml:space="preserve">2. seine Haftung über die Haftung des ausführenden Luftfrachtführers hinausgeht.</w:t>
      </w:r>
    </w:p>
    <w:p>
      <w:r>
        <w:rPr>
          <w:color w:val="555555"/>
          <w:sz w:val="17"/>
        </w:rPr>
        <w:t xml:space="preserve">Zitiervorschlag: § 51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