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LuftVG — Obligatorische Haftpflichtversicherung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Luftfrachtführer ist verpflichtet, zur Deckung seiner Haftung auf Schadensersatz wegen der in § 44 genannten Schäden während der von ihm geschuldeten oder der von ihm für den vertraglichen Luftfrachtführer ausgeführten Luftbeförderung eine Haftpflichtversicherung in einer durch Rechtsverordnung zu bestimmenden Höhe zu unterhalten. Satz 1 gilt nicht, wenn die Bundesrepublik Deutschland Luftfrachtführer ist. Ist ein Land Luftfrachtführer, gilt Satz 1 nur für Luftbeförderungen, auf die das Montrealer Übereinkommen anwendbar ist.</w:t>
      </w:r>
    </w:p>
    <w:p>
      <w:r>
        <w:t xml:space="preserve">(2) Für die Haftpflichtversicherung gelten die Vorschriften für die Pflichtversicherung des Versicherungsvertragsgesetzes. § 114 des Versicherungsvertragsgesetzes gilt nicht.</w:t>
      </w:r>
    </w:p>
    <w:p>
      <w:r>
        <w:rPr>
          <w:color w:val="555555"/>
          <w:sz w:val="17"/>
        </w:rPr>
        <w:t xml:space="preserve">Zitiervorschlag: § 50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