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LuftVG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es unternimmt, Luftfahrer oder Personal für die Flugsicherung auszubilden, bedarf unbeschadet der Vorschrift des Absatzes 3 der Erlaubnis. Die Erlaubnis kann mit Auflagen verbunden und befristet werden.</w:t>
      </w:r>
    </w:p>
    <w:p>
      <w:r>
        <w:t xml:space="preserve">(2) Die Erlaubnis ist zu versagen, wenn Tatsachen die Annahme rechtfertigen, dass die öffentliche Sicherheit oder Ordnung gefährdet werden kann oder der Bewerber oder seine Ausbilder persönlich ungeeignet sind; ergeben sich später solche Tatsachen, so ist die Erlaubnis zu widerrufen. Die Erlaubnis kann außerdem widerrufen werden, wenn sie länger als ein Jahr nicht ausgenutzt worden ist.</w:t>
      </w:r>
    </w:p>
    <w:p>
      <w:r>
        <w:t xml:space="preserve">(3) Die praktische Ausbildung der Luftfahrer darf nur von Personen vorgenommen werden, die eine Lehrberechtigung nach der Verordnung (EU) Nr. 1178/2011 oder nach der Verordnung über Luftfahrtpersonal besitzen (Fluglehrer).</w:t>
      </w:r>
    </w:p>
    <w:p>
      <w:r>
        <w:rPr>
          <w:color w:val="555555"/>
          <w:sz w:val="17"/>
        </w:rPr>
        <w:t xml:space="preserve">Zitiervorschlag: § 5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